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7380" w14:textId="77777777" w:rsidR="009F6E5B" w:rsidRPr="00BA5461" w:rsidRDefault="009F6E5B" w:rsidP="009F6E5B">
      <w:pPr>
        <w:jc w:val="center"/>
        <w:rPr>
          <w:lang w:val="en-GB"/>
        </w:rPr>
      </w:pPr>
      <w:r w:rsidRPr="00BA5461">
        <w:rPr>
          <w:lang w:val="en-GB"/>
        </w:rPr>
        <w:t>The Green Hydrogen Organisation (GH2)</w:t>
      </w:r>
    </w:p>
    <w:p w14:paraId="7B0DA779" w14:textId="77777777" w:rsidR="006632C9" w:rsidRPr="00BA5461" w:rsidRDefault="006632C9" w:rsidP="00DE7EAF">
      <w:pPr>
        <w:jc w:val="center"/>
        <w:rPr>
          <w:lang w:val="en-GB"/>
        </w:rPr>
      </w:pPr>
    </w:p>
    <w:p w14:paraId="42338FB8" w14:textId="08CAC190" w:rsidR="006632C9" w:rsidRPr="00BA5461" w:rsidRDefault="006D53AD" w:rsidP="006632C9">
      <w:pPr>
        <w:jc w:val="center"/>
        <w:rPr>
          <w:color w:val="006600"/>
          <w:sz w:val="72"/>
          <w:szCs w:val="72"/>
          <w:lang w:val="en-GB"/>
        </w:rPr>
      </w:pPr>
      <w:r w:rsidRPr="00BA5461">
        <w:rPr>
          <w:color w:val="006600"/>
          <w:sz w:val="72"/>
          <w:szCs w:val="72"/>
          <w:lang w:val="en-GB"/>
        </w:rPr>
        <w:t>T</w:t>
      </w:r>
      <w:r w:rsidR="00E4720B" w:rsidRPr="00BA5461">
        <w:rPr>
          <w:color w:val="006600"/>
          <w:sz w:val="72"/>
          <w:szCs w:val="72"/>
          <w:lang w:val="en-GB"/>
        </w:rPr>
        <w:t xml:space="preserve">he </w:t>
      </w:r>
      <w:r w:rsidR="006632C9" w:rsidRPr="00BA5461">
        <w:rPr>
          <w:color w:val="006600"/>
          <w:sz w:val="72"/>
          <w:szCs w:val="72"/>
          <w:lang w:val="en-GB"/>
        </w:rPr>
        <w:t>Green Hydrogen Standard</w:t>
      </w:r>
    </w:p>
    <w:p w14:paraId="40BDB575" w14:textId="77777777" w:rsidR="009E3739" w:rsidRPr="00BA5461" w:rsidRDefault="009E3739" w:rsidP="009E3739">
      <w:pPr>
        <w:jc w:val="center"/>
        <w:rPr>
          <w:lang w:val="en-GB"/>
        </w:rPr>
      </w:pPr>
    </w:p>
    <w:p w14:paraId="64CD1C8E" w14:textId="1A447667" w:rsidR="00DD5FB3" w:rsidRPr="007D23B7" w:rsidRDefault="009F210A" w:rsidP="006632C9">
      <w:pPr>
        <w:jc w:val="center"/>
        <w:rPr>
          <w:color w:val="006600"/>
          <w:sz w:val="32"/>
          <w:szCs w:val="32"/>
          <w:lang w:val="en-GB"/>
        </w:rPr>
      </w:pPr>
      <w:r w:rsidRPr="007D23B7">
        <w:rPr>
          <w:color w:val="006600"/>
          <w:sz w:val="32"/>
          <w:szCs w:val="32"/>
          <w:lang w:val="en-GB"/>
        </w:rPr>
        <w:t>Green Hydrogen p</w:t>
      </w:r>
      <w:r w:rsidR="00DD5FB3" w:rsidRPr="007D23B7">
        <w:rPr>
          <w:color w:val="006600"/>
          <w:sz w:val="32"/>
          <w:szCs w:val="32"/>
          <w:lang w:val="en-GB"/>
        </w:rPr>
        <w:t xml:space="preserve">rojects that meet </w:t>
      </w:r>
      <w:r w:rsidRPr="007D23B7">
        <w:rPr>
          <w:color w:val="006600"/>
          <w:sz w:val="32"/>
          <w:szCs w:val="32"/>
          <w:lang w:val="en-GB"/>
        </w:rPr>
        <w:t xml:space="preserve">the Green Hydrogen Standard </w:t>
      </w:r>
      <w:r w:rsidR="00DD5FB3" w:rsidRPr="007D23B7">
        <w:rPr>
          <w:color w:val="006600"/>
          <w:sz w:val="32"/>
          <w:szCs w:val="32"/>
          <w:lang w:val="en-GB"/>
        </w:rPr>
        <w:t>will be licensed to use the label “GH2 Green Hydrogen” and will be eligible to obtain and trade GH2 certificates of origin</w:t>
      </w:r>
      <w:r w:rsidR="009E3739" w:rsidRPr="007D23B7">
        <w:rPr>
          <w:color w:val="006600"/>
          <w:sz w:val="32"/>
          <w:szCs w:val="32"/>
          <w:lang w:val="en-GB"/>
        </w:rPr>
        <w:t xml:space="preserve"> for green hydrogen and derivatives such as green ammonia</w:t>
      </w:r>
      <w:r w:rsidR="00CE52B7" w:rsidRPr="007D23B7">
        <w:rPr>
          <w:color w:val="006600"/>
          <w:sz w:val="32"/>
          <w:szCs w:val="32"/>
          <w:lang w:val="en-GB"/>
        </w:rPr>
        <w:t>.</w:t>
      </w:r>
    </w:p>
    <w:p w14:paraId="2C7B7A6D" w14:textId="77777777" w:rsidR="009E3739" w:rsidRPr="00BA5461" w:rsidRDefault="009E3739" w:rsidP="006632C9">
      <w:pPr>
        <w:jc w:val="center"/>
        <w:rPr>
          <w:color w:val="006600"/>
          <w:sz w:val="36"/>
          <w:szCs w:val="36"/>
          <w:lang w:val="en-GB"/>
        </w:rPr>
      </w:pPr>
    </w:p>
    <w:p w14:paraId="23FF16C7" w14:textId="77777777" w:rsidR="006D53AD" w:rsidRPr="00BA5461" w:rsidRDefault="006D53AD" w:rsidP="006632C9">
      <w:pPr>
        <w:jc w:val="center"/>
        <w:rPr>
          <w:lang w:val="en-GB"/>
        </w:rPr>
      </w:pPr>
    </w:p>
    <w:p w14:paraId="21CF3935" w14:textId="28FA251F" w:rsidR="009F210A" w:rsidRPr="007D23B7" w:rsidRDefault="009F210A" w:rsidP="009F6E5B">
      <w:pPr>
        <w:jc w:val="center"/>
        <w:rPr>
          <w:lang w:val="en-GB"/>
        </w:rPr>
      </w:pPr>
      <w:r w:rsidRPr="007D23B7">
        <w:rPr>
          <w:lang w:val="en-GB"/>
        </w:rPr>
        <w:t>Draft for public comment</w:t>
      </w:r>
      <w:r w:rsidR="0002399B" w:rsidRPr="007D23B7">
        <w:rPr>
          <w:lang w:val="en-GB"/>
        </w:rPr>
        <w:t xml:space="preserve"> – 15 March 2022</w:t>
      </w:r>
    </w:p>
    <w:p w14:paraId="4E282A9A" w14:textId="469F4CEE" w:rsidR="0002399B" w:rsidRPr="00BA5461" w:rsidRDefault="0002399B" w:rsidP="0002399B">
      <w:pPr>
        <w:jc w:val="center"/>
        <w:rPr>
          <w:lang w:val="en-GB"/>
        </w:rPr>
      </w:pPr>
      <w:r w:rsidRPr="00BA5461">
        <w:rPr>
          <w:lang w:val="en-GB"/>
        </w:rPr>
        <w:t xml:space="preserve">Please submit any comments </w:t>
      </w:r>
      <w:r w:rsidR="004D14E5" w:rsidRPr="00BA5461">
        <w:rPr>
          <w:lang w:val="en-GB"/>
        </w:rPr>
        <w:t xml:space="preserve">to </w:t>
      </w:r>
      <w:r w:rsidR="00FA195B" w:rsidRPr="00BA5461">
        <w:rPr>
          <w:lang w:val="en-GB"/>
        </w:rPr>
        <w:t>Sam Bartlett (</w:t>
      </w:r>
      <w:hyperlink r:id="rId11" w:history="1">
        <w:r w:rsidR="00FA195B" w:rsidRPr="00BA5461">
          <w:rPr>
            <w:rStyle w:val="Hyperlink"/>
            <w:lang w:val="en-GB"/>
          </w:rPr>
          <w:t>sam.bartlett@gh2.org</w:t>
        </w:r>
      </w:hyperlink>
      <w:r w:rsidR="00FA195B" w:rsidRPr="00BA5461">
        <w:rPr>
          <w:lang w:val="en-GB"/>
        </w:rPr>
        <w:t xml:space="preserve">) by </w:t>
      </w:r>
      <w:r w:rsidR="007B3471" w:rsidRPr="00BA5461">
        <w:rPr>
          <w:lang w:val="en-GB"/>
        </w:rPr>
        <w:t xml:space="preserve">1 </w:t>
      </w:r>
      <w:r w:rsidR="009A510C" w:rsidRPr="00BA5461">
        <w:rPr>
          <w:lang w:val="en-GB"/>
        </w:rPr>
        <w:t>April</w:t>
      </w:r>
      <w:r w:rsidR="007B3471" w:rsidRPr="00BA5461">
        <w:rPr>
          <w:lang w:val="en-GB"/>
        </w:rPr>
        <w:t xml:space="preserve"> 2022.</w:t>
      </w:r>
    </w:p>
    <w:p w14:paraId="30B17A8E" w14:textId="1DD46916" w:rsidR="009F6E5B" w:rsidRPr="00BA5461" w:rsidRDefault="009F6E5B" w:rsidP="009F6E5B">
      <w:pPr>
        <w:jc w:val="center"/>
        <w:rPr>
          <w:lang w:val="en-GB"/>
        </w:rPr>
      </w:pPr>
    </w:p>
    <w:p w14:paraId="78D02344" w14:textId="65C4A0D2" w:rsidR="00CA20BA" w:rsidRPr="00BA5461" w:rsidRDefault="00CA20BA" w:rsidP="009F6E5B">
      <w:pPr>
        <w:jc w:val="center"/>
        <w:rPr>
          <w:lang w:val="en-GB"/>
        </w:rPr>
      </w:pPr>
    </w:p>
    <w:p w14:paraId="435A7E32" w14:textId="1791B99C" w:rsidR="00CA20BA" w:rsidRPr="00BA5461" w:rsidRDefault="00CA20BA" w:rsidP="009F6E5B">
      <w:pPr>
        <w:jc w:val="center"/>
        <w:rPr>
          <w:lang w:val="en-GB"/>
        </w:rPr>
      </w:pPr>
    </w:p>
    <w:p w14:paraId="4C8A5DE7" w14:textId="1C9DA019" w:rsidR="00CA20BA" w:rsidRPr="00BA5461" w:rsidRDefault="00CA20BA" w:rsidP="009F6E5B">
      <w:pPr>
        <w:jc w:val="center"/>
        <w:rPr>
          <w:lang w:val="en-GB"/>
        </w:rPr>
      </w:pPr>
    </w:p>
    <w:p w14:paraId="66139999" w14:textId="77777777" w:rsidR="00CA20BA" w:rsidRPr="00BA5461" w:rsidRDefault="00CA20BA" w:rsidP="009F6E5B">
      <w:pPr>
        <w:jc w:val="center"/>
        <w:rPr>
          <w:lang w:val="en-GB"/>
        </w:rPr>
      </w:pPr>
    </w:p>
    <w:p w14:paraId="3AB19ECB" w14:textId="4B25AE48" w:rsidR="00E00B65" w:rsidRPr="00BA5461" w:rsidRDefault="00E00B65" w:rsidP="009F6E5B">
      <w:pPr>
        <w:jc w:val="center"/>
        <w:rPr>
          <w:lang w:val="en-GB"/>
        </w:rPr>
      </w:pPr>
    </w:p>
    <w:p w14:paraId="7F9BE681" w14:textId="1AE6E7B7" w:rsidR="00E00B65" w:rsidRPr="00BA5461" w:rsidRDefault="00E00B65" w:rsidP="009F6E5B">
      <w:pPr>
        <w:jc w:val="center"/>
        <w:rPr>
          <w:lang w:val="en-GB"/>
        </w:rPr>
      </w:pPr>
    </w:p>
    <w:p w14:paraId="27540CE8" w14:textId="4C1673BB" w:rsidR="00E00B65" w:rsidRPr="00BA5461" w:rsidRDefault="00E00B65" w:rsidP="009F6E5B">
      <w:pPr>
        <w:jc w:val="center"/>
        <w:rPr>
          <w:lang w:val="en-GB"/>
        </w:rPr>
      </w:pPr>
    </w:p>
    <w:p w14:paraId="1462A14E" w14:textId="2D0A483D" w:rsidR="009E3739" w:rsidRPr="00BA5461" w:rsidRDefault="009E3739" w:rsidP="009F6E5B">
      <w:pPr>
        <w:jc w:val="center"/>
        <w:rPr>
          <w:lang w:val="en-GB"/>
        </w:rPr>
      </w:pPr>
    </w:p>
    <w:p w14:paraId="624C27B0" w14:textId="77777777" w:rsidR="009E3739" w:rsidRPr="00BA5461" w:rsidRDefault="009E3739" w:rsidP="009F6E5B">
      <w:pPr>
        <w:jc w:val="center"/>
        <w:rPr>
          <w:lang w:val="en-GB"/>
        </w:rPr>
      </w:pPr>
    </w:p>
    <w:p w14:paraId="6BD9C964" w14:textId="77777777" w:rsidR="00E00B65" w:rsidRPr="00BA5461" w:rsidRDefault="00E00B65" w:rsidP="009F6E5B">
      <w:pPr>
        <w:jc w:val="center"/>
        <w:rPr>
          <w:lang w:val="en-GB"/>
        </w:rPr>
      </w:pPr>
    </w:p>
    <w:p w14:paraId="11D0C746" w14:textId="6B438044" w:rsidR="00D9107B" w:rsidRPr="00BA5461" w:rsidRDefault="00D9107B" w:rsidP="0027272F">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Calibri Light" w:hAnsi="Calibri Light" w:cs="Calibri Light"/>
          <w:b/>
          <w:bCs/>
          <w:sz w:val="18"/>
          <w:szCs w:val="18"/>
          <w:lang w:val="en-GB"/>
        </w:rPr>
      </w:pPr>
      <w:r w:rsidRPr="00BA5461">
        <w:rPr>
          <w:rFonts w:ascii="Calibri Light" w:hAnsi="Calibri Light" w:cs="Calibri Light"/>
          <w:b/>
          <w:bCs/>
          <w:sz w:val="18"/>
          <w:szCs w:val="18"/>
          <w:lang w:val="en-GB"/>
        </w:rPr>
        <w:t>Anti-trust statement</w:t>
      </w:r>
      <w:r w:rsidR="0027272F" w:rsidRPr="00BA5461">
        <w:rPr>
          <w:rFonts w:ascii="Calibri Light" w:hAnsi="Calibri Light" w:cs="Calibri Light"/>
          <w:b/>
          <w:bCs/>
          <w:sz w:val="18"/>
          <w:szCs w:val="18"/>
          <w:lang w:val="en-GB"/>
        </w:rPr>
        <w:t xml:space="preserve">. </w:t>
      </w:r>
      <w:r w:rsidRPr="00BA5461">
        <w:rPr>
          <w:rFonts w:ascii="Calibri Light" w:hAnsi="Calibri Light" w:cs="Calibri Light"/>
          <w:sz w:val="18"/>
          <w:szCs w:val="18"/>
          <w:lang w:val="en-GB"/>
        </w:rPr>
        <w:t xml:space="preserve">GH2 seeks to fully comply with all applicable laws, including antitrust and competition laws and regulations. Stakeholders involved in the development of the Standard shall not discuss or share confidential proprietary or otherwise commercially sensitive information including pricing, terms and conditions of sale, production or sales levels, business relations, or other matters on which participants compete. Discussing or sharing this information can have serious consequences for GH2 and participants including fines and reputational damage. </w:t>
      </w:r>
    </w:p>
    <w:p w14:paraId="5175D064" w14:textId="23B76FFB" w:rsidR="00AE43E0" w:rsidRPr="007D23B7" w:rsidRDefault="00AE43E0">
      <w:pPr>
        <w:rPr>
          <w:rFonts w:asciiTheme="majorHAnsi" w:eastAsiaTheme="majorEastAsia" w:hAnsiTheme="majorHAnsi" w:cstheme="majorBidi"/>
          <w:sz w:val="32"/>
          <w:szCs w:val="32"/>
          <w:lang w:val="en-GB"/>
        </w:rPr>
      </w:pPr>
      <w:r w:rsidRPr="00BA5461">
        <w:rPr>
          <w:lang w:val="en-GB"/>
        </w:rPr>
        <w:br w:type="page"/>
      </w:r>
    </w:p>
    <w:p w14:paraId="2C568155" w14:textId="77777777" w:rsidR="00D9600B" w:rsidRPr="00BA5461" w:rsidRDefault="00D9600B" w:rsidP="00D9600B">
      <w:pPr>
        <w:pStyle w:val="Heading1"/>
        <w:spacing w:after="240"/>
        <w:ind w:left="720" w:hanging="720"/>
        <w:rPr>
          <w:lang w:val="en-GB"/>
        </w:rPr>
      </w:pPr>
      <w:bookmarkStart w:id="0" w:name="_Toc94562270"/>
      <w:bookmarkStart w:id="1" w:name="_Toc94641806"/>
      <w:r w:rsidRPr="00BA5461">
        <w:rPr>
          <w:lang w:val="en-GB"/>
        </w:rPr>
        <w:lastRenderedPageBreak/>
        <w:t>The Green Hydrogen Organisation (GH2)</w:t>
      </w:r>
      <w:bookmarkEnd w:id="0"/>
    </w:p>
    <w:p w14:paraId="0DAC68C8" w14:textId="091B04C3" w:rsidR="00D9600B" w:rsidRPr="00BA5461" w:rsidRDefault="00D9600B" w:rsidP="00D9600B">
      <w:pPr>
        <w:spacing w:before="240" w:after="240"/>
        <w:rPr>
          <w:lang w:val="en-GB"/>
        </w:rPr>
      </w:pPr>
      <w:r w:rsidRPr="00BA5461">
        <w:rPr>
          <w:lang w:val="en-GB"/>
        </w:rPr>
        <w:t xml:space="preserve">The Green Hydrogen </w:t>
      </w:r>
      <w:r w:rsidR="00AE5713" w:rsidRPr="00BA5461">
        <w:rPr>
          <w:lang w:val="en-GB"/>
        </w:rPr>
        <w:t>Organisation</w:t>
      </w:r>
      <w:r w:rsidRPr="00BA5461">
        <w:rPr>
          <w:lang w:val="en-GB"/>
        </w:rPr>
        <w:t xml:space="preserve"> (GH2) is a not profit foundation under Swiss law. In addition to its office in Geneva it is present in London, Perth, and Sydney. </w:t>
      </w:r>
    </w:p>
    <w:p w14:paraId="2A3C7E66" w14:textId="443244B6" w:rsidR="00D9600B" w:rsidRPr="00BA5461" w:rsidRDefault="00D9600B" w:rsidP="00D9600B">
      <w:pPr>
        <w:spacing w:before="240" w:after="240"/>
        <w:rPr>
          <w:lang w:val="en-GB"/>
        </w:rPr>
      </w:pPr>
      <w:r w:rsidRPr="00BA5461">
        <w:rPr>
          <w:lang w:val="en-GB"/>
        </w:rPr>
        <w:t xml:space="preserve">The mission of GH2 is to dramatically accelerate the production and utilisation of green hydrogen across a range of sectors globally. It will push to rapidly decarbonise industries like steel, cement, fertilisers, </w:t>
      </w:r>
      <w:proofErr w:type="gramStart"/>
      <w:r w:rsidRPr="00BA5461">
        <w:rPr>
          <w:lang w:val="en-GB"/>
        </w:rPr>
        <w:t>shipping</w:t>
      </w:r>
      <w:proofErr w:type="gramEnd"/>
      <w:r w:rsidRPr="00BA5461">
        <w:rPr>
          <w:lang w:val="en-GB"/>
        </w:rPr>
        <w:t xml:space="preserve"> and aviation that have so far made limited progress reducing their emissions. </w:t>
      </w:r>
    </w:p>
    <w:p w14:paraId="6DC9DC4E" w14:textId="55BB359E" w:rsidR="00D9600B" w:rsidRPr="00BA5461" w:rsidRDefault="00D9600B" w:rsidP="00D9600B">
      <w:pPr>
        <w:spacing w:before="240" w:after="240"/>
        <w:rPr>
          <w:i/>
          <w:iCs/>
          <w:lang w:val="en-GB"/>
        </w:rPr>
      </w:pPr>
      <w:r w:rsidRPr="00BA5461">
        <w:rPr>
          <w:lang w:val="en-GB"/>
        </w:rPr>
        <w:t xml:space="preserve">A global standard that defines green hydrogen is essential to promote confidence, raise and leverage investment, </w:t>
      </w:r>
      <w:r w:rsidR="00065A71" w:rsidRPr="00BA5461">
        <w:rPr>
          <w:lang w:val="en-GB"/>
        </w:rPr>
        <w:t xml:space="preserve">facilitate </w:t>
      </w:r>
      <w:proofErr w:type="gramStart"/>
      <w:r w:rsidR="00065A71" w:rsidRPr="00BA5461">
        <w:rPr>
          <w:lang w:val="en-GB"/>
        </w:rPr>
        <w:t>trade</w:t>
      </w:r>
      <w:proofErr w:type="gramEnd"/>
      <w:r w:rsidR="00065A71" w:rsidRPr="00BA5461">
        <w:rPr>
          <w:lang w:val="en-GB"/>
        </w:rPr>
        <w:t xml:space="preserve"> </w:t>
      </w:r>
      <w:r w:rsidRPr="00BA5461">
        <w:rPr>
          <w:lang w:val="en-GB"/>
        </w:rPr>
        <w:t xml:space="preserve">and unlock green hydrogen’s vast potential. </w:t>
      </w:r>
    </w:p>
    <w:p w14:paraId="74158096" w14:textId="617C69F9" w:rsidR="00D9600B" w:rsidRPr="00BA5461" w:rsidRDefault="00065326" w:rsidP="00D9600B">
      <w:pPr>
        <w:rPr>
          <w:i/>
          <w:iCs/>
          <w:lang w:val="en-GB"/>
        </w:rPr>
      </w:pPr>
      <w:r w:rsidRPr="00BA5461">
        <w:rPr>
          <w:lang w:val="en-GB"/>
        </w:rPr>
        <w:t xml:space="preserve">Additional information regarding GH2 is available via </w:t>
      </w:r>
      <w:hyperlink r:id="rId12" w:history="1">
        <w:r w:rsidRPr="00BA5461">
          <w:rPr>
            <w:rStyle w:val="Hyperlink"/>
            <w:lang w:val="en-GB"/>
          </w:rPr>
          <w:t>www.gh2.org</w:t>
        </w:r>
      </w:hyperlink>
    </w:p>
    <w:p w14:paraId="77F2FC31" w14:textId="77777777" w:rsidR="00D9600B" w:rsidRPr="00BA5461" w:rsidRDefault="00D9600B" w:rsidP="00D9600B">
      <w:pPr>
        <w:rPr>
          <w:i/>
          <w:iCs/>
          <w:lang w:val="en-GB"/>
        </w:rPr>
      </w:pPr>
    </w:p>
    <w:p w14:paraId="3FC1CDD3" w14:textId="77777777" w:rsidR="00D9600B" w:rsidRPr="00BA5461" w:rsidRDefault="00D9600B" w:rsidP="00D9600B">
      <w:pPr>
        <w:rPr>
          <w:i/>
          <w:iCs/>
          <w:lang w:val="en-GB"/>
        </w:rPr>
      </w:pPr>
    </w:p>
    <w:p w14:paraId="0901F265" w14:textId="77777777" w:rsidR="00D9600B" w:rsidRPr="00BA5461" w:rsidRDefault="00D9600B" w:rsidP="00D9600B">
      <w:pPr>
        <w:rPr>
          <w:i/>
          <w:iCs/>
          <w:lang w:val="en-GB"/>
        </w:rPr>
      </w:pPr>
    </w:p>
    <w:p w14:paraId="2ABCBEE5" w14:textId="77777777" w:rsidR="00D9600B" w:rsidRPr="00BA5461" w:rsidRDefault="00D9600B" w:rsidP="00D9600B">
      <w:pPr>
        <w:rPr>
          <w:i/>
          <w:iCs/>
          <w:lang w:val="en-GB"/>
        </w:rPr>
      </w:pPr>
    </w:p>
    <w:p w14:paraId="25F4257E" w14:textId="28A1647A" w:rsidR="00D9600B" w:rsidRPr="00BA5461" w:rsidRDefault="00D9600B" w:rsidP="00D9600B">
      <w:pPr>
        <w:rPr>
          <w:i/>
          <w:iCs/>
          <w:lang w:val="en-GB"/>
        </w:rPr>
      </w:pPr>
    </w:p>
    <w:p w14:paraId="529858DD" w14:textId="5D95AC75" w:rsidR="009E3739" w:rsidRPr="00BA5461" w:rsidRDefault="009E3739" w:rsidP="00D9600B">
      <w:pPr>
        <w:rPr>
          <w:i/>
          <w:iCs/>
          <w:lang w:val="en-GB"/>
        </w:rPr>
      </w:pPr>
    </w:p>
    <w:p w14:paraId="5205FE90" w14:textId="16EE70ED" w:rsidR="009E3739" w:rsidRPr="00BA5461" w:rsidRDefault="009E3739" w:rsidP="00D9600B">
      <w:pPr>
        <w:rPr>
          <w:i/>
          <w:iCs/>
          <w:lang w:val="en-GB"/>
        </w:rPr>
      </w:pPr>
    </w:p>
    <w:p w14:paraId="224F257F" w14:textId="77777777" w:rsidR="00D9600B" w:rsidRPr="00BA5461" w:rsidRDefault="00D9600B" w:rsidP="00D9600B">
      <w:pPr>
        <w:rPr>
          <w:i/>
          <w:iCs/>
          <w:lang w:val="en-GB"/>
        </w:rPr>
      </w:pPr>
    </w:p>
    <w:p w14:paraId="515E40FE" w14:textId="77777777" w:rsidR="00D9600B" w:rsidRPr="007D23B7" w:rsidRDefault="00D9600B" w:rsidP="00D9600B">
      <w:pPr>
        <w:rPr>
          <w:i/>
          <w:iCs/>
          <w:sz w:val="20"/>
          <w:szCs w:val="20"/>
          <w:lang w:val="en-GB"/>
        </w:rPr>
      </w:pPr>
      <w:r w:rsidRPr="007D23B7">
        <w:rPr>
          <w:i/>
          <w:iCs/>
          <w:sz w:val="20"/>
          <w:szCs w:val="20"/>
          <w:lang w:val="en-GB"/>
        </w:rPr>
        <w:t>The Green Hydrogen Standard</w:t>
      </w:r>
    </w:p>
    <w:p w14:paraId="27F03188" w14:textId="77777777" w:rsidR="00D9600B" w:rsidRPr="007D23B7" w:rsidRDefault="00D9600B" w:rsidP="00D9600B">
      <w:pPr>
        <w:rPr>
          <w:i/>
          <w:iCs/>
          <w:sz w:val="20"/>
          <w:szCs w:val="20"/>
          <w:lang w:val="en-GB"/>
        </w:rPr>
      </w:pPr>
      <w:r w:rsidRPr="007D23B7">
        <w:rPr>
          <w:i/>
          <w:iCs/>
          <w:sz w:val="20"/>
          <w:szCs w:val="20"/>
          <w:lang w:val="en-GB"/>
        </w:rPr>
        <w:t xml:space="preserve">The Green Hydrogen Organisation </w:t>
      </w:r>
    </w:p>
    <w:p w14:paraId="44A8FF67" w14:textId="2B551B64" w:rsidR="00D9600B" w:rsidRPr="007D23B7" w:rsidRDefault="00A91F24" w:rsidP="00D9600B">
      <w:pPr>
        <w:rPr>
          <w:i/>
          <w:iCs/>
          <w:sz w:val="20"/>
          <w:szCs w:val="20"/>
          <w:lang w:val="en-GB"/>
        </w:rPr>
      </w:pPr>
      <w:r w:rsidRPr="007D23B7">
        <w:rPr>
          <w:i/>
          <w:iCs/>
          <w:sz w:val="20"/>
          <w:szCs w:val="20"/>
          <w:lang w:val="en-GB"/>
        </w:rPr>
        <w:t xml:space="preserve">Draft </w:t>
      </w:r>
      <w:r w:rsidR="00D9600B" w:rsidRPr="007D23B7">
        <w:rPr>
          <w:i/>
          <w:iCs/>
          <w:sz w:val="20"/>
          <w:szCs w:val="20"/>
          <w:lang w:val="en-GB"/>
        </w:rPr>
        <w:t xml:space="preserve">Version </w:t>
      </w:r>
      <w:r w:rsidRPr="007D23B7">
        <w:rPr>
          <w:i/>
          <w:iCs/>
          <w:sz w:val="20"/>
          <w:szCs w:val="20"/>
          <w:lang w:val="en-GB"/>
        </w:rPr>
        <w:t>2</w:t>
      </w:r>
      <w:r w:rsidR="0061318A" w:rsidRPr="007D23B7">
        <w:rPr>
          <w:i/>
          <w:iCs/>
          <w:sz w:val="20"/>
          <w:szCs w:val="20"/>
          <w:lang w:val="en-GB"/>
        </w:rPr>
        <w:tab/>
      </w:r>
      <w:r w:rsidR="00D9600B" w:rsidRPr="007D23B7">
        <w:rPr>
          <w:i/>
          <w:iCs/>
          <w:sz w:val="20"/>
          <w:szCs w:val="20"/>
          <w:lang w:val="en-GB"/>
        </w:rPr>
        <w:tab/>
      </w:r>
      <w:r w:rsidR="0061318A" w:rsidRPr="007D23B7">
        <w:rPr>
          <w:i/>
          <w:iCs/>
          <w:sz w:val="20"/>
          <w:szCs w:val="20"/>
          <w:lang w:val="en-GB"/>
        </w:rPr>
        <w:t xml:space="preserve">15 March </w:t>
      </w:r>
      <w:r w:rsidR="00D9600B" w:rsidRPr="007D23B7">
        <w:rPr>
          <w:i/>
          <w:iCs/>
          <w:sz w:val="20"/>
          <w:szCs w:val="20"/>
          <w:lang w:val="en-GB"/>
        </w:rPr>
        <w:t>2022</w:t>
      </w:r>
    </w:p>
    <w:p w14:paraId="225AF9D2" w14:textId="77777777" w:rsidR="00D9600B" w:rsidRPr="007D23B7" w:rsidRDefault="00D9600B" w:rsidP="00D9600B">
      <w:pPr>
        <w:rPr>
          <w:i/>
          <w:iCs/>
          <w:sz w:val="20"/>
          <w:szCs w:val="20"/>
          <w:lang w:val="en-GB"/>
        </w:rPr>
      </w:pPr>
    </w:p>
    <w:p w14:paraId="172EBA3E" w14:textId="77777777" w:rsidR="00D9600B" w:rsidRPr="007D23B7" w:rsidRDefault="00D9600B" w:rsidP="00D9600B">
      <w:pPr>
        <w:rPr>
          <w:i/>
          <w:iCs/>
          <w:sz w:val="20"/>
          <w:szCs w:val="20"/>
          <w:lang w:val="en-GB"/>
        </w:rPr>
      </w:pPr>
      <w:r w:rsidRPr="007D23B7">
        <w:rPr>
          <w:i/>
          <w:iCs/>
          <w:sz w:val="20"/>
          <w:szCs w:val="20"/>
          <w:lang w:val="en-GB"/>
        </w:rPr>
        <w:t>This publication may be reproduced free of charge in</w:t>
      </w:r>
    </w:p>
    <w:p w14:paraId="76ABA4E7" w14:textId="77777777" w:rsidR="00D9600B" w:rsidRPr="007D23B7" w:rsidRDefault="00D9600B" w:rsidP="00D9600B">
      <w:pPr>
        <w:rPr>
          <w:i/>
          <w:iCs/>
          <w:sz w:val="20"/>
          <w:szCs w:val="20"/>
          <w:lang w:val="en-GB"/>
        </w:rPr>
      </w:pPr>
      <w:r w:rsidRPr="007D23B7">
        <w:rPr>
          <w:i/>
          <w:iCs/>
          <w:sz w:val="20"/>
          <w:szCs w:val="20"/>
          <w:lang w:val="en-GB"/>
        </w:rPr>
        <w:t xml:space="preserve">any format or medium </w:t>
      </w:r>
      <w:proofErr w:type="gramStart"/>
      <w:r w:rsidRPr="007D23B7">
        <w:rPr>
          <w:i/>
          <w:iCs/>
          <w:sz w:val="20"/>
          <w:szCs w:val="20"/>
          <w:lang w:val="en-GB"/>
        </w:rPr>
        <w:t>provided that</w:t>
      </w:r>
      <w:proofErr w:type="gramEnd"/>
      <w:r w:rsidRPr="007D23B7">
        <w:rPr>
          <w:i/>
          <w:iCs/>
          <w:sz w:val="20"/>
          <w:szCs w:val="20"/>
          <w:lang w:val="en-GB"/>
        </w:rPr>
        <w:t xml:space="preserve"> it is reproduced</w:t>
      </w:r>
    </w:p>
    <w:p w14:paraId="31E21D97" w14:textId="77777777" w:rsidR="00D9600B" w:rsidRPr="007D23B7" w:rsidRDefault="00D9600B" w:rsidP="00D9600B">
      <w:pPr>
        <w:rPr>
          <w:i/>
          <w:iCs/>
          <w:sz w:val="20"/>
          <w:szCs w:val="20"/>
          <w:lang w:val="en-GB"/>
        </w:rPr>
      </w:pPr>
      <w:r w:rsidRPr="007D23B7">
        <w:rPr>
          <w:i/>
          <w:iCs/>
          <w:sz w:val="20"/>
          <w:szCs w:val="20"/>
          <w:lang w:val="en-GB"/>
        </w:rPr>
        <w:t>accurately and not used in a misleading context.</w:t>
      </w:r>
    </w:p>
    <w:p w14:paraId="4A960472" w14:textId="77777777" w:rsidR="00D9600B" w:rsidRPr="007D23B7" w:rsidRDefault="00D9600B" w:rsidP="00D9600B">
      <w:pPr>
        <w:rPr>
          <w:i/>
          <w:iCs/>
          <w:sz w:val="20"/>
          <w:szCs w:val="20"/>
          <w:lang w:val="en-GB"/>
        </w:rPr>
      </w:pPr>
      <w:r w:rsidRPr="007D23B7">
        <w:rPr>
          <w:i/>
          <w:iCs/>
          <w:sz w:val="20"/>
          <w:szCs w:val="20"/>
          <w:lang w:val="en-GB"/>
        </w:rPr>
        <w:t>The material must be acknowledged as the</w:t>
      </w:r>
    </w:p>
    <w:p w14:paraId="7835540A" w14:textId="77777777" w:rsidR="00D9600B" w:rsidRPr="007D23B7" w:rsidRDefault="00D9600B" w:rsidP="00D9600B">
      <w:pPr>
        <w:rPr>
          <w:i/>
          <w:iCs/>
          <w:sz w:val="20"/>
          <w:szCs w:val="20"/>
          <w:lang w:val="en-GB"/>
        </w:rPr>
      </w:pPr>
      <w:r w:rsidRPr="007D23B7">
        <w:rPr>
          <w:i/>
          <w:iCs/>
          <w:sz w:val="20"/>
          <w:szCs w:val="20"/>
          <w:lang w:val="en-GB"/>
        </w:rPr>
        <w:t>Green Hydrogen Organisation copyright with the</w:t>
      </w:r>
    </w:p>
    <w:p w14:paraId="30E6008A" w14:textId="77777777" w:rsidR="00D9600B" w:rsidRPr="007D23B7" w:rsidRDefault="00D9600B" w:rsidP="00D9600B">
      <w:pPr>
        <w:rPr>
          <w:i/>
          <w:iCs/>
          <w:sz w:val="20"/>
          <w:szCs w:val="20"/>
          <w:lang w:val="en-GB"/>
        </w:rPr>
      </w:pPr>
      <w:r w:rsidRPr="007D23B7">
        <w:rPr>
          <w:i/>
          <w:iCs/>
          <w:sz w:val="20"/>
          <w:szCs w:val="20"/>
          <w:lang w:val="en-GB"/>
        </w:rPr>
        <w:t>title and source of the publication specified.</w:t>
      </w:r>
    </w:p>
    <w:p w14:paraId="02AF802F" w14:textId="77777777" w:rsidR="00D9600B" w:rsidRPr="007D23B7" w:rsidRDefault="00D9600B" w:rsidP="00D9600B">
      <w:pPr>
        <w:rPr>
          <w:i/>
          <w:iCs/>
          <w:sz w:val="20"/>
          <w:szCs w:val="20"/>
          <w:lang w:val="en-GB"/>
        </w:rPr>
      </w:pPr>
      <w:r w:rsidRPr="007D23B7">
        <w:rPr>
          <w:i/>
          <w:iCs/>
          <w:sz w:val="20"/>
          <w:szCs w:val="20"/>
          <w:lang w:val="en-GB"/>
        </w:rPr>
        <w:t>Copyright in the typographical arrangement and design</w:t>
      </w:r>
    </w:p>
    <w:p w14:paraId="21D53A95" w14:textId="77777777" w:rsidR="00D9600B" w:rsidRPr="007D23B7" w:rsidRDefault="00D9600B" w:rsidP="00D9600B">
      <w:pPr>
        <w:rPr>
          <w:i/>
          <w:iCs/>
          <w:sz w:val="20"/>
          <w:szCs w:val="20"/>
          <w:lang w:val="en-GB"/>
        </w:rPr>
      </w:pPr>
      <w:r w:rsidRPr="007D23B7">
        <w:rPr>
          <w:i/>
          <w:iCs/>
          <w:sz w:val="20"/>
          <w:szCs w:val="20"/>
          <w:lang w:val="en-GB"/>
        </w:rPr>
        <w:t>rests with the Green Hydrogen Organisation.</w:t>
      </w:r>
    </w:p>
    <w:p w14:paraId="0C351FC1" w14:textId="77777777" w:rsidR="00D9600B" w:rsidRPr="00BA5461" w:rsidRDefault="00D9600B" w:rsidP="00D9600B">
      <w:pPr>
        <w:rPr>
          <w:i/>
          <w:iCs/>
          <w:lang w:val="en-GB"/>
        </w:rPr>
      </w:pPr>
      <w:r w:rsidRPr="00BA5461">
        <w:rPr>
          <w:i/>
          <w:iCs/>
          <w:lang w:val="en-GB"/>
        </w:rPr>
        <w:t xml:space="preserve">. </w:t>
      </w:r>
      <w:r w:rsidRPr="00BA5461">
        <w:rPr>
          <w:lang w:val="en-GB"/>
        </w:rPr>
        <w:br w:type="page"/>
      </w:r>
    </w:p>
    <w:p w14:paraId="1483EBB6" w14:textId="77777777" w:rsidR="000719F5" w:rsidRPr="00BA5461" w:rsidRDefault="000719F5" w:rsidP="000719F5">
      <w:pPr>
        <w:pStyle w:val="Heading1"/>
        <w:spacing w:after="240"/>
        <w:ind w:left="720" w:hanging="720"/>
        <w:rPr>
          <w:lang w:val="en-GB"/>
        </w:rPr>
      </w:pPr>
      <w:bookmarkStart w:id="2" w:name="_Toc94562271"/>
      <w:r w:rsidRPr="00BA5461">
        <w:rPr>
          <w:lang w:val="en-GB"/>
        </w:rPr>
        <w:lastRenderedPageBreak/>
        <w:t>Foreword</w:t>
      </w:r>
      <w:bookmarkEnd w:id="2"/>
    </w:p>
    <w:p w14:paraId="23F6536D" w14:textId="77777777" w:rsidR="000719F5" w:rsidRPr="00BA5461" w:rsidRDefault="000719F5" w:rsidP="000719F5">
      <w:pPr>
        <w:rPr>
          <w:i/>
          <w:iCs/>
          <w:highlight w:val="lightGray"/>
          <w:lang w:val="en-GB"/>
        </w:rPr>
      </w:pPr>
      <w:r w:rsidRPr="00BA5461">
        <w:rPr>
          <w:i/>
          <w:iCs/>
          <w:highlight w:val="lightGray"/>
          <w:lang w:val="en-GB"/>
        </w:rPr>
        <w:t xml:space="preserve">Lorem ipsum </w:t>
      </w:r>
      <w:proofErr w:type="spellStart"/>
      <w:r w:rsidRPr="00BA5461">
        <w:rPr>
          <w:i/>
          <w:iCs/>
          <w:highlight w:val="lightGray"/>
          <w:lang w:val="en-GB"/>
        </w:rPr>
        <w:t>dolor</w:t>
      </w:r>
      <w:proofErr w:type="spellEnd"/>
      <w:r w:rsidRPr="00BA5461">
        <w:rPr>
          <w:i/>
          <w:iCs/>
          <w:highlight w:val="lightGray"/>
          <w:lang w:val="en-GB"/>
        </w:rPr>
        <w:t xml:space="preserve"> sit </w:t>
      </w:r>
      <w:proofErr w:type="spellStart"/>
      <w:r w:rsidRPr="00BA5461">
        <w:rPr>
          <w:i/>
          <w:iCs/>
          <w:highlight w:val="lightGray"/>
          <w:lang w:val="en-GB"/>
        </w:rPr>
        <w:t>amet</w:t>
      </w:r>
      <w:proofErr w:type="spellEnd"/>
      <w:r w:rsidRPr="00BA5461">
        <w:rPr>
          <w:i/>
          <w:iCs/>
          <w:highlight w:val="lightGray"/>
          <w:lang w:val="en-GB"/>
        </w:rPr>
        <w:t xml:space="preserve">, </w:t>
      </w:r>
      <w:proofErr w:type="spellStart"/>
      <w:r w:rsidRPr="00BA5461">
        <w:rPr>
          <w:i/>
          <w:iCs/>
          <w:highlight w:val="lightGray"/>
          <w:lang w:val="en-GB"/>
        </w:rPr>
        <w:t>consectetur</w:t>
      </w:r>
      <w:proofErr w:type="spellEnd"/>
      <w:r w:rsidRPr="00BA5461">
        <w:rPr>
          <w:i/>
          <w:iCs/>
          <w:highlight w:val="lightGray"/>
          <w:lang w:val="en-GB"/>
        </w:rPr>
        <w:t xml:space="preserve"> </w:t>
      </w:r>
      <w:proofErr w:type="spellStart"/>
      <w:r w:rsidRPr="00BA5461">
        <w:rPr>
          <w:i/>
          <w:iCs/>
          <w:highlight w:val="lightGray"/>
          <w:lang w:val="en-GB"/>
        </w:rPr>
        <w:t>adipiscing</w:t>
      </w:r>
      <w:proofErr w:type="spellEnd"/>
      <w:r w:rsidRPr="00BA5461">
        <w:rPr>
          <w:i/>
          <w:iCs/>
          <w:highlight w:val="lightGray"/>
          <w:lang w:val="en-GB"/>
        </w:rPr>
        <w:t xml:space="preserve"> </w:t>
      </w:r>
      <w:proofErr w:type="spellStart"/>
      <w:r w:rsidRPr="00BA5461">
        <w:rPr>
          <w:i/>
          <w:iCs/>
          <w:highlight w:val="lightGray"/>
          <w:lang w:val="en-GB"/>
        </w:rPr>
        <w:t>elit</w:t>
      </w:r>
      <w:proofErr w:type="spellEnd"/>
      <w:r w:rsidRPr="00BA5461">
        <w:rPr>
          <w:i/>
          <w:iCs/>
          <w:highlight w:val="lightGray"/>
          <w:lang w:val="en-GB"/>
        </w:rPr>
        <w:t xml:space="preserve">. </w:t>
      </w:r>
      <w:r w:rsidRPr="00BA5461">
        <w:rPr>
          <w:i/>
          <w:highlight w:val="lightGray"/>
          <w:lang w:val="en-GB"/>
        </w:rPr>
        <w:t xml:space="preserve">Duis </w:t>
      </w:r>
      <w:proofErr w:type="spellStart"/>
      <w:r w:rsidRPr="00BA5461">
        <w:rPr>
          <w:i/>
          <w:highlight w:val="lightGray"/>
          <w:lang w:val="en-GB"/>
        </w:rPr>
        <w:t>rutrum</w:t>
      </w:r>
      <w:proofErr w:type="spellEnd"/>
      <w:r w:rsidRPr="00BA5461">
        <w:rPr>
          <w:i/>
          <w:highlight w:val="lightGray"/>
          <w:lang w:val="en-GB"/>
        </w:rPr>
        <w:t xml:space="preserve"> </w:t>
      </w:r>
      <w:proofErr w:type="spellStart"/>
      <w:r w:rsidRPr="00BA5461">
        <w:rPr>
          <w:i/>
          <w:highlight w:val="lightGray"/>
          <w:lang w:val="en-GB"/>
        </w:rPr>
        <w:t>elementum</w:t>
      </w:r>
      <w:proofErr w:type="spellEnd"/>
      <w:r w:rsidRPr="00BA5461">
        <w:rPr>
          <w:i/>
          <w:highlight w:val="lightGray"/>
          <w:lang w:val="en-GB"/>
        </w:rPr>
        <w:t xml:space="preserve"> mi, </w:t>
      </w:r>
      <w:proofErr w:type="spellStart"/>
      <w:r w:rsidRPr="00BA5461">
        <w:rPr>
          <w:i/>
          <w:highlight w:val="lightGray"/>
          <w:lang w:val="en-GB"/>
        </w:rPr>
        <w:t>eu</w:t>
      </w:r>
      <w:proofErr w:type="spellEnd"/>
      <w:r w:rsidRPr="00BA5461">
        <w:rPr>
          <w:i/>
          <w:highlight w:val="lightGray"/>
          <w:lang w:val="en-GB"/>
        </w:rPr>
        <w:t xml:space="preserve"> </w:t>
      </w:r>
      <w:proofErr w:type="spellStart"/>
      <w:r w:rsidRPr="00BA5461">
        <w:rPr>
          <w:i/>
          <w:highlight w:val="lightGray"/>
          <w:lang w:val="en-GB"/>
        </w:rPr>
        <w:t>consequat</w:t>
      </w:r>
      <w:proofErr w:type="spellEnd"/>
      <w:r w:rsidRPr="00BA5461">
        <w:rPr>
          <w:i/>
          <w:highlight w:val="lightGray"/>
          <w:lang w:val="en-GB"/>
        </w:rPr>
        <w:t xml:space="preserve"> </w:t>
      </w:r>
      <w:proofErr w:type="spellStart"/>
      <w:r w:rsidRPr="00BA5461">
        <w:rPr>
          <w:i/>
          <w:highlight w:val="lightGray"/>
          <w:lang w:val="en-GB"/>
        </w:rPr>
        <w:t>erat</w:t>
      </w:r>
      <w:proofErr w:type="spellEnd"/>
      <w:r w:rsidRPr="00BA5461">
        <w:rPr>
          <w:i/>
          <w:highlight w:val="lightGray"/>
          <w:lang w:val="en-GB"/>
        </w:rPr>
        <w:t xml:space="preserve"> </w:t>
      </w:r>
      <w:proofErr w:type="spellStart"/>
      <w:r w:rsidRPr="00BA5461">
        <w:rPr>
          <w:i/>
          <w:highlight w:val="lightGray"/>
          <w:lang w:val="en-GB"/>
        </w:rPr>
        <w:t>sagittis</w:t>
      </w:r>
      <w:proofErr w:type="spellEnd"/>
      <w:r w:rsidRPr="00BA5461">
        <w:rPr>
          <w:i/>
          <w:highlight w:val="lightGray"/>
          <w:lang w:val="en-GB"/>
        </w:rPr>
        <w:t xml:space="preserve"> </w:t>
      </w:r>
      <w:proofErr w:type="spellStart"/>
      <w:r w:rsidRPr="00BA5461">
        <w:rPr>
          <w:i/>
          <w:highlight w:val="lightGray"/>
          <w:lang w:val="en-GB"/>
        </w:rPr>
        <w:t>nec</w:t>
      </w:r>
      <w:proofErr w:type="spellEnd"/>
      <w:r w:rsidRPr="00BA5461">
        <w:rPr>
          <w:i/>
          <w:highlight w:val="lightGray"/>
          <w:lang w:val="en-GB"/>
        </w:rPr>
        <w:t xml:space="preserve">. </w:t>
      </w:r>
      <w:proofErr w:type="spellStart"/>
      <w:r w:rsidRPr="00BA5461">
        <w:rPr>
          <w:i/>
          <w:iCs/>
          <w:highlight w:val="lightGray"/>
          <w:lang w:val="en-GB"/>
        </w:rPr>
        <w:t>Sed</w:t>
      </w:r>
      <w:proofErr w:type="spellEnd"/>
      <w:r w:rsidRPr="00BA5461">
        <w:rPr>
          <w:i/>
          <w:iCs/>
          <w:highlight w:val="lightGray"/>
          <w:lang w:val="en-GB"/>
        </w:rPr>
        <w:t xml:space="preserve"> </w:t>
      </w:r>
      <w:proofErr w:type="spellStart"/>
      <w:r w:rsidRPr="00BA5461">
        <w:rPr>
          <w:i/>
          <w:iCs/>
          <w:highlight w:val="lightGray"/>
          <w:lang w:val="en-GB"/>
        </w:rPr>
        <w:t>eleifend</w:t>
      </w:r>
      <w:proofErr w:type="spellEnd"/>
      <w:r w:rsidRPr="00BA5461">
        <w:rPr>
          <w:i/>
          <w:iCs/>
          <w:highlight w:val="lightGray"/>
          <w:lang w:val="en-GB"/>
        </w:rPr>
        <w:t xml:space="preserve"> convallis </w:t>
      </w:r>
      <w:proofErr w:type="spellStart"/>
      <w:r w:rsidRPr="00BA5461">
        <w:rPr>
          <w:i/>
          <w:iCs/>
          <w:highlight w:val="lightGray"/>
          <w:lang w:val="en-GB"/>
        </w:rPr>
        <w:t>odio</w:t>
      </w:r>
      <w:proofErr w:type="spellEnd"/>
      <w:r w:rsidRPr="00BA5461">
        <w:rPr>
          <w:i/>
          <w:iCs/>
          <w:highlight w:val="lightGray"/>
          <w:lang w:val="en-GB"/>
        </w:rPr>
        <w:t xml:space="preserve">, a </w:t>
      </w:r>
      <w:proofErr w:type="spellStart"/>
      <w:r w:rsidRPr="00BA5461">
        <w:rPr>
          <w:i/>
          <w:iCs/>
          <w:highlight w:val="lightGray"/>
          <w:lang w:val="en-GB"/>
        </w:rPr>
        <w:t>tempor</w:t>
      </w:r>
      <w:proofErr w:type="spellEnd"/>
      <w:r w:rsidRPr="00BA5461">
        <w:rPr>
          <w:i/>
          <w:iCs/>
          <w:highlight w:val="lightGray"/>
          <w:lang w:val="en-GB"/>
        </w:rPr>
        <w:t xml:space="preserve"> </w:t>
      </w:r>
      <w:proofErr w:type="spellStart"/>
      <w:r w:rsidRPr="00BA5461">
        <w:rPr>
          <w:i/>
          <w:iCs/>
          <w:highlight w:val="lightGray"/>
          <w:lang w:val="en-GB"/>
        </w:rPr>
        <w:t>erat</w:t>
      </w:r>
      <w:proofErr w:type="spellEnd"/>
      <w:r w:rsidRPr="00BA5461">
        <w:rPr>
          <w:i/>
          <w:iCs/>
          <w:highlight w:val="lightGray"/>
          <w:lang w:val="en-GB"/>
        </w:rPr>
        <w:t xml:space="preserve"> </w:t>
      </w:r>
      <w:proofErr w:type="spellStart"/>
      <w:r w:rsidRPr="00BA5461">
        <w:rPr>
          <w:i/>
          <w:iCs/>
          <w:highlight w:val="lightGray"/>
          <w:lang w:val="en-GB"/>
        </w:rPr>
        <w:t>tincidunt</w:t>
      </w:r>
      <w:proofErr w:type="spellEnd"/>
      <w:r w:rsidRPr="00BA5461">
        <w:rPr>
          <w:i/>
          <w:iCs/>
          <w:highlight w:val="lightGray"/>
          <w:lang w:val="en-GB"/>
        </w:rPr>
        <w:t xml:space="preserve"> id. </w:t>
      </w:r>
      <w:proofErr w:type="spellStart"/>
      <w:r w:rsidRPr="00BA5461">
        <w:rPr>
          <w:i/>
          <w:iCs/>
          <w:highlight w:val="lightGray"/>
          <w:lang w:val="en-GB"/>
        </w:rPr>
        <w:t>Pellentesque</w:t>
      </w:r>
      <w:proofErr w:type="spellEnd"/>
      <w:r w:rsidRPr="00BA5461">
        <w:rPr>
          <w:i/>
          <w:iCs/>
          <w:highlight w:val="lightGray"/>
          <w:lang w:val="en-GB"/>
        </w:rPr>
        <w:t xml:space="preserve"> habitant </w:t>
      </w:r>
      <w:proofErr w:type="spellStart"/>
      <w:r w:rsidRPr="00BA5461">
        <w:rPr>
          <w:i/>
          <w:iCs/>
          <w:highlight w:val="lightGray"/>
          <w:lang w:val="en-GB"/>
        </w:rPr>
        <w:t>morbi</w:t>
      </w:r>
      <w:proofErr w:type="spellEnd"/>
      <w:r w:rsidRPr="00BA5461">
        <w:rPr>
          <w:i/>
          <w:iCs/>
          <w:highlight w:val="lightGray"/>
          <w:lang w:val="en-GB"/>
        </w:rPr>
        <w:t xml:space="preserve"> </w:t>
      </w:r>
      <w:proofErr w:type="spellStart"/>
      <w:r w:rsidRPr="00BA5461">
        <w:rPr>
          <w:i/>
          <w:iCs/>
          <w:highlight w:val="lightGray"/>
          <w:lang w:val="en-GB"/>
        </w:rPr>
        <w:t>tristique</w:t>
      </w:r>
      <w:proofErr w:type="spellEnd"/>
      <w:r w:rsidRPr="00BA5461">
        <w:rPr>
          <w:i/>
          <w:iCs/>
          <w:highlight w:val="lightGray"/>
          <w:lang w:val="en-GB"/>
        </w:rPr>
        <w:t xml:space="preserve"> </w:t>
      </w:r>
      <w:proofErr w:type="spellStart"/>
      <w:r w:rsidRPr="00BA5461">
        <w:rPr>
          <w:i/>
          <w:iCs/>
          <w:highlight w:val="lightGray"/>
          <w:lang w:val="en-GB"/>
        </w:rPr>
        <w:t>senectus</w:t>
      </w:r>
      <w:proofErr w:type="spellEnd"/>
      <w:r w:rsidRPr="00BA5461">
        <w:rPr>
          <w:i/>
          <w:iCs/>
          <w:highlight w:val="lightGray"/>
          <w:lang w:val="en-GB"/>
        </w:rPr>
        <w:t xml:space="preserve"> et </w:t>
      </w:r>
      <w:proofErr w:type="spellStart"/>
      <w:r w:rsidRPr="00BA5461">
        <w:rPr>
          <w:i/>
          <w:iCs/>
          <w:highlight w:val="lightGray"/>
          <w:lang w:val="en-GB"/>
        </w:rPr>
        <w:t>netus</w:t>
      </w:r>
      <w:proofErr w:type="spellEnd"/>
      <w:r w:rsidRPr="00BA5461">
        <w:rPr>
          <w:i/>
          <w:iCs/>
          <w:highlight w:val="lightGray"/>
          <w:lang w:val="en-GB"/>
        </w:rPr>
        <w:t xml:space="preserve"> et </w:t>
      </w:r>
      <w:proofErr w:type="spellStart"/>
      <w:r w:rsidRPr="00BA5461">
        <w:rPr>
          <w:i/>
          <w:iCs/>
          <w:highlight w:val="lightGray"/>
          <w:lang w:val="en-GB"/>
        </w:rPr>
        <w:t>malesuada</w:t>
      </w:r>
      <w:proofErr w:type="spellEnd"/>
      <w:r w:rsidRPr="00BA5461">
        <w:rPr>
          <w:i/>
          <w:iCs/>
          <w:highlight w:val="lightGray"/>
          <w:lang w:val="en-GB"/>
        </w:rPr>
        <w:t xml:space="preserve"> fames ac </w:t>
      </w:r>
      <w:proofErr w:type="spellStart"/>
      <w:r w:rsidRPr="00BA5461">
        <w:rPr>
          <w:i/>
          <w:iCs/>
          <w:highlight w:val="lightGray"/>
          <w:lang w:val="en-GB"/>
        </w:rPr>
        <w:t>turpis</w:t>
      </w:r>
      <w:proofErr w:type="spellEnd"/>
      <w:r w:rsidRPr="00BA5461">
        <w:rPr>
          <w:i/>
          <w:iCs/>
          <w:highlight w:val="lightGray"/>
          <w:lang w:val="en-GB"/>
        </w:rPr>
        <w:t xml:space="preserve"> </w:t>
      </w:r>
      <w:proofErr w:type="spellStart"/>
      <w:r w:rsidRPr="00BA5461">
        <w:rPr>
          <w:i/>
          <w:iCs/>
          <w:highlight w:val="lightGray"/>
          <w:lang w:val="en-GB"/>
        </w:rPr>
        <w:t>egestas</w:t>
      </w:r>
      <w:proofErr w:type="spellEnd"/>
      <w:r w:rsidRPr="00BA5461">
        <w:rPr>
          <w:i/>
          <w:iCs/>
          <w:highlight w:val="lightGray"/>
          <w:lang w:val="en-GB"/>
        </w:rPr>
        <w:t xml:space="preserve">. </w:t>
      </w:r>
      <w:proofErr w:type="spellStart"/>
      <w:r w:rsidRPr="00BA5461">
        <w:rPr>
          <w:i/>
          <w:iCs/>
          <w:highlight w:val="lightGray"/>
          <w:lang w:val="en-GB"/>
        </w:rPr>
        <w:t>Nulla</w:t>
      </w:r>
      <w:proofErr w:type="spellEnd"/>
      <w:r w:rsidRPr="00BA5461">
        <w:rPr>
          <w:i/>
          <w:iCs/>
          <w:highlight w:val="lightGray"/>
          <w:lang w:val="en-GB"/>
        </w:rPr>
        <w:t xml:space="preserve"> </w:t>
      </w:r>
      <w:proofErr w:type="spellStart"/>
      <w:r w:rsidRPr="00BA5461">
        <w:rPr>
          <w:i/>
          <w:iCs/>
          <w:highlight w:val="lightGray"/>
          <w:lang w:val="en-GB"/>
        </w:rPr>
        <w:t>tempor</w:t>
      </w:r>
      <w:proofErr w:type="spellEnd"/>
      <w:r w:rsidRPr="00BA5461">
        <w:rPr>
          <w:i/>
          <w:iCs/>
          <w:highlight w:val="lightGray"/>
          <w:lang w:val="en-GB"/>
        </w:rPr>
        <w:t xml:space="preserve"> </w:t>
      </w:r>
      <w:proofErr w:type="spellStart"/>
      <w:r w:rsidRPr="00BA5461">
        <w:rPr>
          <w:i/>
          <w:iCs/>
          <w:highlight w:val="lightGray"/>
          <w:lang w:val="en-GB"/>
        </w:rPr>
        <w:t>vulputate</w:t>
      </w:r>
      <w:proofErr w:type="spellEnd"/>
      <w:r w:rsidRPr="00BA5461">
        <w:rPr>
          <w:i/>
          <w:iCs/>
          <w:highlight w:val="lightGray"/>
          <w:lang w:val="en-GB"/>
        </w:rPr>
        <w:t xml:space="preserve"> dictum. </w:t>
      </w:r>
      <w:proofErr w:type="spellStart"/>
      <w:r w:rsidRPr="00BA5461">
        <w:rPr>
          <w:i/>
          <w:iCs/>
          <w:highlight w:val="lightGray"/>
          <w:lang w:val="en-GB"/>
        </w:rPr>
        <w:t>Sed</w:t>
      </w:r>
      <w:proofErr w:type="spellEnd"/>
      <w:r w:rsidRPr="00BA5461">
        <w:rPr>
          <w:i/>
          <w:iCs/>
          <w:highlight w:val="lightGray"/>
          <w:lang w:val="en-GB"/>
        </w:rPr>
        <w:t xml:space="preserve"> </w:t>
      </w:r>
      <w:proofErr w:type="spellStart"/>
      <w:r w:rsidRPr="00BA5461">
        <w:rPr>
          <w:i/>
          <w:iCs/>
          <w:highlight w:val="lightGray"/>
          <w:lang w:val="en-GB"/>
        </w:rPr>
        <w:t>condimentum</w:t>
      </w:r>
      <w:proofErr w:type="spellEnd"/>
      <w:r w:rsidRPr="00BA5461">
        <w:rPr>
          <w:i/>
          <w:iCs/>
          <w:highlight w:val="lightGray"/>
          <w:lang w:val="en-GB"/>
        </w:rPr>
        <w:t xml:space="preserve"> id </w:t>
      </w:r>
      <w:proofErr w:type="spellStart"/>
      <w:r w:rsidRPr="00BA5461">
        <w:rPr>
          <w:i/>
          <w:iCs/>
          <w:highlight w:val="lightGray"/>
          <w:lang w:val="en-GB"/>
        </w:rPr>
        <w:t>turpis</w:t>
      </w:r>
      <w:proofErr w:type="spellEnd"/>
      <w:r w:rsidRPr="00BA5461">
        <w:rPr>
          <w:i/>
          <w:iCs/>
          <w:highlight w:val="lightGray"/>
          <w:lang w:val="en-GB"/>
        </w:rPr>
        <w:t xml:space="preserve"> </w:t>
      </w:r>
      <w:proofErr w:type="spellStart"/>
      <w:r w:rsidRPr="00BA5461">
        <w:rPr>
          <w:i/>
          <w:iCs/>
          <w:highlight w:val="lightGray"/>
          <w:lang w:val="en-GB"/>
        </w:rPr>
        <w:t>posuere</w:t>
      </w:r>
      <w:proofErr w:type="spellEnd"/>
      <w:r w:rsidRPr="00BA5461">
        <w:rPr>
          <w:i/>
          <w:iCs/>
          <w:highlight w:val="lightGray"/>
          <w:lang w:val="en-GB"/>
        </w:rPr>
        <w:t xml:space="preserve"> </w:t>
      </w:r>
      <w:proofErr w:type="spellStart"/>
      <w:r w:rsidRPr="00BA5461">
        <w:rPr>
          <w:i/>
          <w:iCs/>
          <w:highlight w:val="lightGray"/>
          <w:lang w:val="en-GB"/>
        </w:rPr>
        <w:t>efficitur</w:t>
      </w:r>
      <w:proofErr w:type="spellEnd"/>
      <w:r w:rsidRPr="00BA5461">
        <w:rPr>
          <w:i/>
          <w:iCs/>
          <w:highlight w:val="lightGray"/>
          <w:lang w:val="en-GB"/>
        </w:rPr>
        <w:t xml:space="preserve">. </w:t>
      </w:r>
      <w:proofErr w:type="spellStart"/>
      <w:r w:rsidRPr="00BA5461">
        <w:rPr>
          <w:i/>
          <w:highlight w:val="lightGray"/>
          <w:lang w:val="en-GB"/>
        </w:rPr>
        <w:t>Sed</w:t>
      </w:r>
      <w:proofErr w:type="spellEnd"/>
      <w:r w:rsidRPr="00BA5461">
        <w:rPr>
          <w:i/>
          <w:highlight w:val="lightGray"/>
          <w:lang w:val="en-GB"/>
        </w:rPr>
        <w:t xml:space="preserve"> </w:t>
      </w:r>
      <w:proofErr w:type="spellStart"/>
      <w:r w:rsidRPr="00BA5461">
        <w:rPr>
          <w:i/>
          <w:highlight w:val="lightGray"/>
          <w:lang w:val="en-GB"/>
        </w:rPr>
        <w:t>justo</w:t>
      </w:r>
      <w:proofErr w:type="spellEnd"/>
      <w:r w:rsidRPr="00BA5461">
        <w:rPr>
          <w:i/>
          <w:highlight w:val="lightGray"/>
          <w:lang w:val="en-GB"/>
        </w:rPr>
        <w:t xml:space="preserve"> </w:t>
      </w:r>
      <w:proofErr w:type="spellStart"/>
      <w:r w:rsidRPr="00BA5461">
        <w:rPr>
          <w:i/>
          <w:highlight w:val="lightGray"/>
          <w:lang w:val="en-GB"/>
        </w:rPr>
        <w:t>turpis</w:t>
      </w:r>
      <w:proofErr w:type="spellEnd"/>
      <w:r w:rsidRPr="00BA5461">
        <w:rPr>
          <w:i/>
          <w:highlight w:val="lightGray"/>
          <w:lang w:val="en-GB"/>
        </w:rPr>
        <w:t xml:space="preserve">, gravida </w:t>
      </w:r>
      <w:proofErr w:type="spellStart"/>
      <w:r w:rsidRPr="00BA5461">
        <w:rPr>
          <w:i/>
          <w:highlight w:val="lightGray"/>
          <w:lang w:val="en-GB"/>
        </w:rPr>
        <w:t>nec</w:t>
      </w:r>
      <w:proofErr w:type="spellEnd"/>
      <w:r w:rsidRPr="00BA5461">
        <w:rPr>
          <w:i/>
          <w:highlight w:val="lightGray"/>
          <w:lang w:val="en-GB"/>
        </w:rPr>
        <w:t xml:space="preserve"> </w:t>
      </w:r>
      <w:proofErr w:type="spellStart"/>
      <w:r w:rsidRPr="00BA5461">
        <w:rPr>
          <w:i/>
          <w:highlight w:val="lightGray"/>
          <w:lang w:val="en-GB"/>
        </w:rPr>
        <w:t>tellus</w:t>
      </w:r>
      <w:proofErr w:type="spellEnd"/>
      <w:r w:rsidRPr="00BA5461">
        <w:rPr>
          <w:i/>
          <w:highlight w:val="lightGray"/>
          <w:lang w:val="en-GB"/>
        </w:rPr>
        <w:t xml:space="preserve"> </w:t>
      </w:r>
      <w:proofErr w:type="spellStart"/>
      <w:r w:rsidRPr="00BA5461">
        <w:rPr>
          <w:i/>
          <w:highlight w:val="lightGray"/>
          <w:lang w:val="en-GB"/>
        </w:rPr>
        <w:t>ut</w:t>
      </w:r>
      <w:proofErr w:type="spellEnd"/>
      <w:r w:rsidRPr="00BA5461">
        <w:rPr>
          <w:i/>
          <w:highlight w:val="lightGray"/>
          <w:lang w:val="en-GB"/>
        </w:rPr>
        <w:t xml:space="preserve">, </w:t>
      </w:r>
      <w:proofErr w:type="spellStart"/>
      <w:r w:rsidRPr="00BA5461">
        <w:rPr>
          <w:i/>
          <w:highlight w:val="lightGray"/>
          <w:lang w:val="en-GB"/>
        </w:rPr>
        <w:t>varius</w:t>
      </w:r>
      <w:proofErr w:type="spellEnd"/>
      <w:r w:rsidRPr="00BA5461">
        <w:rPr>
          <w:i/>
          <w:highlight w:val="lightGray"/>
          <w:lang w:val="en-GB"/>
        </w:rPr>
        <w:t xml:space="preserve"> pulvinar diam. </w:t>
      </w:r>
      <w:proofErr w:type="spellStart"/>
      <w:r w:rsidRPr="00BA5461">
        <w:rPr>
          <w:i/>
          <w:iCs/>
          <w:highlight w:val="lightGray"/>
          <w:lang w:val="en-GB"/>
        </w:rPr>
        <w:t>Curabitur</w:t>
      </w:r>
      <w:proofErr w:type="spellEnd"/>
      <w:r w:rsidRPr="00BA5461">
        <w:rPr>
          <w:i/>
          <w:iCs/>
          <w:highlight w:val="lightGray"/>
          <w:lang w:val="en-GB"/>
        </w:rPr>
        <w:t xml:space="preserve"> at </w:t>
      </w:r>
      <w:proofErr w:type="spellStart"/>
      <w:r w:rsidRPr="00BA5461">
        <w:rPr>
          <w:i/>
          <w:iCs/>
          <w:highlight w:val="lightGray"/>
          <w:lang w:val="en-GB"/>
        </w:rPr>
        <w:t>consequat</w:t>
      </w:r>
      <w:proofErr w:type="spellEnd"/>
      <w:r w:rsidRPr="00BA5461">
        <w:rPr>
          <w:i/>
          <w:iCs/>
          <w:highlight w:val="lightGray"/>
          <w:lang w:val="en-GB"/>
        </w:rPr>
        <w:t xml:space="preserve"> </w:t>
      </w:r>
      <w:proofErr w:type="spellStart"/>
      <w:r w:rsidRPr="00BA5461">
        <w:rPr>
          <w:i/>
          <w:iCs/>
          <w:highlight w:val="lightGray"/>
          <w:lang w:val="en-GB"/>
        </w:rPr>
        <w:t>augue</w:t>
      </w:r>
      <w:proofErr w:type="spellEnd"/>
      <w:r w:rsidRPr="00BA5461">
        <w:rPr>
          <w:i/>
          <w:iCs/>
          <w:highlight w:val="lightGray"/>
          <w:lang w:val="en-GB"/>
        </w:rPr>
        <w:t xml:space="preserve">. Ut </w:t>
      </w:r>
      <w:proofErr w:type="spellStart"/>
      <w:r w:rsidRPr="00BA5461">
        <w:rPr>
          <w:i/>
          <w:iCs/>
          <w:highlight w:val="lightGray"/>
          <w:lang w:val="en-GB"/>
        </w:rPr>
        <w:t>imperdiet</w:t>
      </w:r>
      <w:proofErr w:type="spellEnd"/>
      <w:r w:rsidRPr="00BA5461">
        <w:rPr>
          <w:i/>
          <w:iCs/>
          <w:highlight w:val="lightGray"/>
          <w:lang w:val="en-GB"/>
        </w:rPr>
        <w:t xml:space="preserve"> </w:t>
      </w:r>
      <w:proofErr w:type="spellStart"/>
      <w:r w:rsidRPr="00BA5461">
        <w:rPr>
          <w:i/>
          <w:iCs/>
          <w:highlight w:val="lightGray"/>
          <w:lang w:val="en-GB"/>
        </w:rPr>
        <w:t>turpis</w:t>
      </w:r>
      <w:proofErr w:type="spellEnd"/>
      <w:r w:rsidRPr="00BA5461">
        <w:rPr>
          <w:i/>
          <w:iCs/>
          <w:highlight w:val="lightGray"/>
          <w:lang w:val="en-GB"/>
        </w:rPr>
        <w:t xml:space="preserve"> ligula, </w:t>
      </w:r>
      <w:proofErr w:type="spellStart"/>
      <w:r w:rsidRPr="00BA5461">
        <w:rPr>
          <w:i/>
          <w:iCs/>
          <w:highlight w:val="lightGray"/>
          <w:lang w:val="en-GB"/>
        </w:rPr>
        <w:t>pellentesque</w:t>
      </w:r>
      <w:proofErr w:type="spellEnd"/>
      <w:r w:rsidRPr="00BA5461">
        <w:rPr>
          <w:i/>
          <w:iCs/>
          <w:highlight w:val="lightGray"/>
          <w:lang w:val="en-GB"/>
        </w:rPr>
        <w:t xml:space="preserve"> </w:t>
      </w:r>
      <w:proofErr w:type="spellStart"/>
      <w:r w:rsidRPr="00BA5461">
        <w:rPr>
          <w:i/>
          <w:iCs/>
          <w:highlight w:val="lightGray"/>
          <w:lang w:val="en-GB"/>
        </w:rPr>
        <w:t>rutrum</w:t>
      </w:r>
      <w:proofErr w:type="spellEnd"/>
      <w:r w:rsidRPr="00BA5461">
        <w:rPr>
          <w:i/>
          <w:iCs/>
          <w:highlight w:val="lightGray"/>
          <w:lang w:val="en-GB"/>
        </w:rPr>
        <w:t xml:space="preserve"> </w:t>
      </w:r>
      <w:proofErr w:type="spellStart"/>
      <w:r w:rsidRPr="00BA5461">
        <w:rPr>
          <w:i/>
          <w:iCs/>
          <w:highlight w:val="lightGray"/>
          <w:lang w:val="en-GB"/>
        </w:rPr>
        <w:t>nunc</w:t>
      </w:r>
      <w:proofErr w:type="spellEnd"/>
      <w:r w:rsidRPr="00BA5461">
        <w:rPr>
          <w:i/>
          <w:iCs/>
          <w:highlight w:val="lightGray"/>
          <w:lang w:val="en-GB"/>
        </w:rPr>
        <w:t xml:space="preserve"> </w:t>
      </w:r>
      <w:proofErr w:type="spellStart"/>
      <w:r w:rsidRPr="00BA5461">
        <w:rPr>
          <w:i/>
          <w:iCs/>
          <w:highlight w:val="lightGray"/>
          <w:lang w:val="en-GB"/>
        </w:rPr>
        <w:t>egestas</w:t>
      </w:r>
      <w:proofErr w:type="spellEnd"/>
      <w:r w:rsidRPr="00BA5461">
        <w:rPr>
          <w:i/>
          <w:iCs/>
          <w:highlight w:val="lightGray"/>
          <w:lang w:val="en-GB"/>
        </w:rPr>
        <w:t xml:space="preserve"> </w:t>
      </w:r>
      <w:proofErr w:type="spellStart"/>
      <w:r w:rsidRPr="00BA5461">
        <w:rPr>
          <w:i/>
          <w:iCs/>
          <w:highlight w:val="lightGray"/>
          <w:lang w:val="en-GB"/>
        </w:rPr>
        <w:t>vehicula</w:t>
      </w:r>
      <w:proofErr w:type="spellEnd"/>
      <w:r w:rsidRPr="00BA5461">
        <w:rPr>
          <w:i/>
          <w:iCs/>
          <w:highlight w:val="lightGray"/>
          <w:lang w:val="en-GB"/>
        </w:rPr>
        <w:t>.</w:t>
      </w:r>
    </w:p>
    <w:p w14:paraId="3BEB39D1" w14:textId="77777777" w:rsidR="000719F5" w:rsidRPr="00BA5461" w:rsidRDefault="000719F5" w:rsidP="000719F5">
      <w:pPr>
        <w:rPr>
          <w:i/>
          <w:iCs/>
          <w:lang w:val="en-GB"/>
        </w:rPr>
      </w:pPr>
      <w:r w:rsidRPr="00BA5461">
        <w:rPr>
          <w:i/>
          <w:highlight w:val="lightGray"/>
          <w:lang w:val="en-GB"/>
        </w:rPr>
        <w:t xml:space="preserve">Nam </w:t>
      </w:r>
      <w:proofErr w:type="spellStart"/>
      <w:r w:rsidRPr="00BA5461">
        <w:rPr>
          <w:i/>
          <w:highlight w:val="lightGray"/>
          <w:lang w:val="en-GB"/>
        </w:rPr>
        <w:t>vel</w:t>
      </w:r>
      <w:proofErr w:type="spellEnd"/>
      <w:r w:rsidRPr="00BA5461">
        <w:rPr>
          <w:i/>
          <w:highlight w:val="lightGray"/>
          <w:lang w:val="en-GB"/>
        </w:rPr>
        <w:t xml:space="preserve"> </w:t>
      </w:r>
      <w:proofErr w:type="spellStart"/>
      <w:r w:rsidRPr="00BA5461">
        <w:rPr>
          <w:i/>
          <w:highlight w:val="lightGray"/>
          <w:lang w:val="en-GB"/>
        </w:rPr>
        <w:t>vulputate</w:t>
      </w:r>
      <w:proofErr w:type="spellEnd"/>
      <w:r w:rsidRPr="00BA5461">
        <w:rPr>
          <w:i/>
          <w:highlight w:val="lightGray"/>
          <w:lang w:val="en-GB"/>
        </w:rPr>
        <w:t xml:space="preserve"> ante. Aenean </w:t>
      </w:r>
      <w:proofErr w:type="spellStart"/>
      <w:r w:rsidRPr="00BA5461">
        <w:rPr>
          <w:i/>
          <w:highlight w:val="lightGray"/>
          <w:lang w:val="en-GB"/>
        </w:rPr>
        <w:t>posuere</w:t>
      </w:r>
      <w:proofErr w:type="spellEnd"/>
      <w:r w:rsidRPr="00BA5461">
        <w:rPr>
          <w:i/>
          <w:highlight w:val="lightGray"/>
          <w:lang w:val="en-GB"/>
        </w:rPr>
        <w:t xml:space="preserve">, </w:t>
      </w:r>
      <w:proofErr w:type="spellStart"/>
      <w:r w:rsidRPr="00BA5461">
        <w:rPr>
          <w:i/>
          <w:highlight w:val="lightGray"/>
          <w:lang w:val="en-GB"/>
        </w:rPr>
        <w:t>arcu</w:t>
      </w:r>
      <w:proofErr w:type="spellEnd"/>
      <w:r w:rsidRPr="00BA5461">
        <w:rPr>
          <w:i/>
          <w:highlight w:val="lightGray"/>
          <w:lang w:val="en-GB"/>
        </w:rPr>
        <w:t xml:space="preserve"> </w:t>
      </w:r>
      <w:proofErr w:type="spellStart"/>
      <w:r w:rsidRPr="00BA5461">
        <w:rPr>
          <w:i/>
          <w:highlight w:val="lightGray"/>
          <w:lang w:val="en-GB"/>
        </w:rPr>
        <w:t>sed</w:t>
      </w:r>
      <w:proofErr w:type="spellEnd"/>
      <w:r w:rsidRPr="00BA5461">
        <w:rPr>
          <w:i/>
          <w:highlight w:val="lightGray"/>
          <w:lang w:val="en-GB"/>
        </w:rPr>
        <w:t xml:space="preserve"> pharetra semper, </w:t>
      </w:r>
      <w:proofErr w:type="spellStart"/>
      <w:r w:rsidRPr="00BA5461">
        <w:rPr>
          <w:i/>
          <w:highlight w:val="lightGray"/>
          <w:lang w:val="en-GB"/>
        </w:rPr>
        <w:t>risus</w:t>
      </w:r>
      <w:proofErr w:type="spellEnd"/>
      <w:r w:rsidRPr="00BA5461">
        <w:rPr>
          <w:i/>
          <w:highlight w:val="lightGray"/>
          <w:lang w:val="en-GB"/>
        </w:rPr>
        <w:t xml:space="preserve"> </w:t>
      </w:r>
      <w:proofErr w:type="spellStart"/>
      <w:r w:rsidRPr="00BA5461">
        <w:rPr>
          <w:i/>
          <w:highlight w:val="lightGray"/>
          <w:lang w:val="en-GB"/>
        </w:rPr>
        <w:t>massa</w:t>
      </w:r>
      <w:proofErr w:type="spellEnd"/>
      <w:r w:rsidRPr="00BA5461">
        <w:rPr>
          <w:i/>
          <w:highlight w:val="lightGray"/>
          <w:lang w:val="en-GB"/>
        </w:rPr>
        <w:t xml:space="preserve"> fermentum </w:t>
      </w:r>
      <w:proofErr w:type="spellStart"/>
      <w:r w:rsidRPr="00BA5461">
        <w:rPr>
          <w:i/>
          <w:highlight w:val="lightGray"/>
          <w:lang w:val="en-GB"/>
        </w:rPr>
        <w:t>mauris</w:t>
      </w:r>
      <w:proofErr w:type="spellEnd"/>
      <w:r w:rsidRPr="00BA5461">
        <w:rPr>
          <w:i/>
          <w:highlight w:val="lightGray"/>
          <w:lang w:val="en-GB"/>
        </w:rPr>
        <w:t xml:space="preserve">, </w:t>
      </w:r>
      <w:proofErr w:type="spellStart"/>
      <w:r w:rsidRPr="00BA5461">
        <w:rPr>
          <w:i/>
          <w:highlight w:val="lightGray"/>
          <w:lang w:val="en-GB"/>
        </w:rPr>
        <w:t>tincidunt</w:t>
      </w:r>
      <w:proofErr w:type="spellEnd"/>
      <w:r w:rsidRPr="00BA5461">
        <w:rPr>
          <w:i/>
          <w:highlight w:val="lightGray"/>
          <w:lang w:val="en-GB"/>
        </w:rPr>
        <w:t xml:space="preserve"> </w:t>
      </w:r>
      <w:proofErr w:type="spellStart"/>
      <w:r w:rsidRPr="00BA5461">
        <w:rPr>
          <w:i/>
          <w:highlight w:val="lightGray"/>
          <w:lang w:val="en-GB"/>
        </w:rPr>
        <w:t>rhoncus</w:t>
      </w:r>
      <w:proofErr w:type="spellEnd"/>
      <w:r w:rsidRPr="00BA5461">
        <w:rPr>
          <w:i/>
          <w:highlight w:val="lightGray"/>
          <w:lang w:val="en-GB"/>
        </w:rPr>
        <w:t xml:space="preserve"> </w:t>
      </w:r>
      <w:proofErr w:type="spellStart"/>
      <w:r w:rsidRPr="00BA5461">
        <w:rPr>
          <w:i/>
          <w:highlight w:val="lightGray"/>
          <w:lang w:val="en-GB"/>
        </w:rPr>
        <w:t>quam</w:t>
      </w:r>
      <w:proofErr w:type="spellEnd"/>
      <w:r w:rsidRPr="00BA5461">
        <w:rPr>
          <w:i/>
          <w:highlight w:val="lightGray"/>
          <w:lang w:val="en-GB"/>
        </w:rPr>
        <w:t xml:space="preserve"> </w:t>
      </w:r>
      <w:proofErr w:type="spellStart"/>
      <w:r w:rsidRPr="00BA5461">
        <w:rPr>
          <w:i/>
          <w:highlight w:val="lightGray"/>
          <w:lang w:val="en-GB"/>
        </w:rPr>
        <w:t>est</w:t>
      </w:r>
      <w:proofErr w:type="spellEnd"/>
      <w:r w:rsidRPr="00BA5461">
        <w:rPr>
          <w:i/>
          <w:highlight w:val="lightGray"/>
          <w:lang w:val="en-GB"/>
        </w:rPr>
        <w:t xml:space="preserve"> </w:t>
      </w:r>
      <w:proofErr w:type="spellStart"/>
      <w:r w:rsidRPr="00BA5461">
        <w:rPr>
          <w:i/>
          <w:highlight w:val="lightGray"/>
          <w:lang w:val="en-GB"/>
        </w:rPr>
        <w:t>eget</w:t>
      </w:r>
      <w:proofErr w:type="spellEnd"/>
      <w:r w:rsidRPr="00BA5461">
        <w:rPr>
          <w:i/>
          <w:highlight w:val="lightGray"/>
          <w:lang w:val="en-GB"/>
        </w:rPr>
        <w:t xml:space="preserve"> diam. Ut convallis </w:t>
      </w:r>
      <w:proofErr w:type="spellStart"/>
      <w:r w:rsidRPr="00BA5461">
        <w:rPr>
          <w:i/>
          <w:highlight w:val="lightGray"/>
          <w:lang w:val="en-GB"/>
        </w:rPr>
        <w:t>tellus</w:t>
      </w:r>
      <w:proofErr w:type="spellEnd"/>
      <w:r w:rsidRPr="00BA5461">
        <w:rPr>
          <w:i/>
          <w:highlight w:val="lightGray"/>
          <w:lang w:val="en-GB"/>
        </w:rPr>
        <w:t xml:space="preserve"> </w:t>
      </w:r>
      <w:proofErr w:type="spellStart"/>
      <w:r w:rsidRPr="00BA5461">
        <w:rPr>
          <w:i/>
          <w:highlight w:val="lightGray"/>
          <w:lang w:val="en-GB"/>
        </w:rPr>
        <w:t>vel</w:t>
      </w:r>
      <w:proofErr w:type="spellEnd"/>
      <w:r w:rsidRPr="00BA5461">
        <w:rPr>
          <w:i/>
          <w:highlight w:val="lightGray"/>
          <w:lang w:val="en-GB"/>
        </w:rPr>
        <w:t xml:space="preserve"> </w:t>
      </w:r>
      <w:proofErr w:type="spellStart"/>
      <w:r w:rsidRPr="00BA5461">
        <w:rPr>
          <w:i/>
          <w:highlight w:val="lightGray"/>
          <w:lang w:val="en-GB"/>
        </w:rPr>
        <w:t>volutpat</w:t>
      </w:r>
      <w:proofErr w:type="spellEnd"/>
      <w:r w:rsidRPr="00BA5461">
        <w:rPr>
          <w:i/>
          <w:highlight w:val="lightGray"/>
          <w:lang w:val="en-GB"/>
        </w:rPr>
        <w:t xml:space="preserve"> </w:t>
      </w:r>
      <w:proofErr w:type="spellStart"/>
      <w:r w:rsidRPr="00BA5461">
        <w:rPr>
          <w:i/>
          <w:highlight w:val="lightGray"/>
          <w:lang w:val="en-GB"/>
        </w:rPr>
        <w:t>fringilla</w:t>
      </w:r>
      <w:proofErr w:type="spellEnd"/>
      <w:r w:rsidRPr="00BA5461">
        <w:rPr>
          <w:i/>
          <w:highlight w:val="lightGray"/>
          <w:lang w:val="en-GB"/>
        </w:rPr>
        <w:t xml:space="preserve">. </w:t>
      </w:r>
      <w:proofErr w:type="spellStart"/>
      <w:r w:rsidRPr="00BA5461">
        <w:rPr>
          <w:i/>
          <w:highlight w:val="lightGray"/>
          <w:lang w:val="en-GB"/>
        </w:rPr>
        <w:t>Mauris</w:t>
      </w:r>
      <w:proofErr w:type="spellEnd"/>
      <w:r w:rsidRPr="00BA5461">
        <w:rPr>
          <w:i/>
          <w:highlight w:val="lightGray"/>
          <w:lang w:val="en-GB"/>
        </w:rPr>
        <w:t xml:space="preserve"> id </w:t>
      </w:r>
      <w:proofErr w:type="spellStart"/>
      <w:r w:rsidRPr="00BA5461">
        <w:rPr>
          <w:i/>
          <w:highlight w:val="lightGray"/>
          <w:lang w:val="en-GB"/>
        </w:rPr>
        <w:t>hendrerit</w:t>
      </w:r>
      <w:proofErr w:type="spellEnd"/>
      <w:r w:rsidRPr="00BA5461">
        <w:rPr>
          <w:i/>
          <w:highlight w:val="lightGray"/>
          <w:lang w:val="en-GB"/>
        </w:rPr>
        <w:t xml:space="preserve"> </w:t>
      </w:r>
      <w:proofErr w:type="spellStart"/>
      <w:r w:rsidRPr="00BA5461">
        <w:rPr>
          <w:i/>
          <w:highlight w:val="lightGray"/>
          <w:lang w:val="en-GB"/>
        </w:rPr>
        <w:t>nibh</w:t>
      </w:r>
      <w:proofErr w:type="spellEnd"/>
      <w:r w:rsidRPr="00BA5461">
        <w:rPr>
          <w:i/>
          <w:highlight w:val="lightGray"/>
          <w:lang w:val="en-GB"/>
        </w:rPr>
        <w:t xml:space="preserve">. </w:t>
      </w:r>
      <w:proofErr w:type="spellStart"/>
      <w:r w:rsidRPr="00BA5461">
        <w:rPr>
          <w:i/>
          <w:iCs/>
          <w:highlight w:val="lightGray"/>
          <w:lang w:val="en-GB"/>
        </w:rPr>
        <w:t>Sed</w:t>
      </w:r>
      <w:proofErr w:type="spellEnd"/>
      <w:r w:rsidRPr="00BA5461">
        <w:rPr>
          <w:i/>
          <w:iCs/>
          <w:highlight w:val="lightGray"/>
          <w:lang w:val="en-GB"/>
        </w:rPr>
        <w:t xml:space="preserve"> non </w:t>
      </w:r>
      <w:proofErr w:type="spellStart"/>
      <w:r w:rsidRPr="00BA5461">
        <w:rPr>
          <w:i/>
          <w:iCs/>
          <w:highlight w:val="lightGray"/>
          <w:lang w:val="en-GB"/>
        </w:rPr>
        <w:t>justo</w:t>
      </w:r>
      <w:proofErr w:type="spellEnd"/>
      <w:r w:rsidRPr="00BA5461">
        <w:rPr>
          <w:i/>
          <w:iCs/>
          <w:highlight w:val="lightGray"/>
          <w:lang w:val="en-GB"/>
        </w:rPr>
        <w:t xml:space="preserve"> </w:t>
      </w:r>
      <w:proofErr w:type="spellStart"/>
      <w:r w:rsidRPr="00BA5461">
        <w:rPr>
          <w:i/>
          <w:iCs/>
          <w:highlight w:val="lightGray"/>
          <w:lang w:val="en-GB"/>
        </w:rPr>
        <w:t>nunc</w:t>
      </w:r>
      <w:proofErr w:type="spellEnd"/>
      <w:r w:rsidRPr="00BA5461">
        <w:rPr>
          <w:i/>
          <w:iCs/>
          <w:highlight w:val="lightGray"/>
          <w:lang w:val="en-GB"/>
        </w:rPr>
        <w:t xml:space="preserve">. Duis </w:t>
      </w:r>
      <w:proofErr w:type="spellStart"/>
      <w:r w:rsidRPr="00BA5461">
        <w:rPr>
          <w:i/>
          <w:iCs/>
          <w:highlight w:val="lightGray"/>
          <w:lang w:val="en-GB"/>
        </w:rPr>
        <w:t>augue</w:t>
      </w:r>
      <w:proofErr w:type="spellEnd"/>
      <w:r w:rsidRPr="00BA5461">
        <w:rPr>
          <w:i/>
          <w:iCs/>
          <w:highlight w:val="lightGray"/>
          <w:lang w:val="en-GB"/>
        </w:rPr>
        <w:t xml:space="preserve"> </w:t>
      </w:r>
      <w:proofErr w:type="spellStart"/>
      <w:r w:rsidRPr="00BA5461">
        <w:rPr>
          <w:i/>
          <w:iCs/>
          <w:highlight w:val="lightGray"/>
          <w:lang w:val="en-GB"/>
        </w:rPr>
        <w:t>justo</w:t>
      </w:r>
      <w:proofErr w:type="spellEnd"/>
      <w:r w:rsidRPr="00BA5461">
        <w:rPr>
          <w:i/>
          <w:iCs/>
          <w:highlight w:val="lightGray"/>
          <w:lang w:val="en-GB"/>
        </w:rPr>
        <w:t xml:space="preserve">, </w:t>
      </w:r>
      <w:proofErr w:type="spellStart"/>
      <w:r w:rsidRPr="00BA5461">
        <w:rPr>
          <w:i/>
          <w:iCs/>
          <w:highlight w:val="lightGray"/>
          <w:lang w:val="en-GB"/>
        </w:rPr>
        <w:t>volutpat</w:t>
      </w:r>
      <w:proofErr w:type="spellEnd"/>
      <w:r w:rsidRPr="00BA5461">
        <w:rPr>
          <w:i/>
          <w:iCs/>
          <w:highlight w:val="lightGray"/>
          <w:lang w:val="en-GB"/>
        </w:rPr>
        <w:t xml:space="preserve"> in </w:t>
      </w:r>
      <w:proofErr w:type="spellStart"/>
      <w:r w:rsidRPr="00BA5461">
        <w:rPr>
          <w:i/>
          <w:iCs/>
          <w:highlight w:val="lightGray"/>
          <w:lang w:val="en-GB"/>
        </w:rPr>
        <w:t>placerat</w:t>
      </w:r>
      <w:proofErr w:type="spellEnd"/>
      <w:r w:rsidRPr="00BA5461">
        <w:rPr>
          <w:i/>
          <w:iCs/>
          <w:highlight w:val="lightGray"/>
          <w:lang w:val="en-GB"/>
        </w:rPr>
        <w:t xml:space="preserve"> </w:t>
      </w:r>
      <w:proofErr w:type="spellStart"/>
      <w:r w:rsidRPr="00BA5461">
        <w:rPr>
          <w:i/>
          <w:iCs/>
          <w:highlight w:val="lightGray"/>
          <w:lang w:val="en-GB"/>
        </w:rPr>
        <w:t>eu</w:t>
      </w:r>
      <w:proofErr w:type="spellEnd"/>
      <w:r w:rsidRPr="00BA5461">
        <w:rPr>
          <w:i/>
          <w:iCs/>
          <w:highlight w:val="lightGray"/>
          <w:lang w:val="en-GB"/>
        </w:rPr>
        <w:t xml:space="preserve">, </w:t>
      </w:r>
      <w:proofErr w:type="spellStart"/>
      <w:r w:rsidRPr="00BA5461">
        <w:rPr>
          <w:i/>
          <w:iCs/>
          <w:highlight w:val="lightGray"/>
          <w:lang w:val="en-GB"/>
        </w:rPr>
        <w:t>imperdiet</w:t>
      </w:r>
      <w:proofErr w:type="spellEnd"/>
      <w:r w:rsidRPr="00BA5461">
        <w:rPr>
          <w:i/>
          <w:iCs/>
          <w:highlight w:val="lightGray"/>
          <w:lang w:val="en-GB"/>
        </w:rPr>
        <w:t xml:space="preserve"> at </w:t>
      </w:r>
      <w:proofErr w:type="spellStart"/>
      <w:r w:rsidRPr="00BA5461">
        <w:rPr>
          <w:i/>
          <w:iCs/>
          <w:highlight w:val="lightGray"/>
          <w:lang w:val="en-GB"/>
        </w:rPr>
        <w:t>elit</w:t>
      </w:r>
      <w:proofErr w:type="spellEnd"/>
      <w:r w:rsidRPr="00BA5461">
        <w:rPr>
          <w:i/>
          <w:iCs/>
          <w:highlight w:val="lightGray"/>
          <w:lang w:val="en-GB"/>
        </w:rPr>
        <w:t xml:space="preserve">. Nam </w:t>
      </w:r>
      <w:proofErr w:type="spellStart"/>
      <w:r w:rsidRPr="00BA5461">
        <w:rPr>
          <w:i/>
          <w:iCs/>
          <w:highlight w:val="lightGray"/>
          <w:lang w:val="en-GB"/>
        </w:rPr>
        <w:t>accumsan</w:t>
      </w:r>
      <w:proofErr w:type="spellEnd"/>
      <w:r w:rsidRPr="00BA5461">
        <w:rPr>
          <w:i/>
          <w:iCs/>
          <w:highlight w:val="lightGray"/>
          <w:lang w:val="en-GB"/>
        </w:rPr>
        <w:t xml:space="preserve"> </w:t>
      </w:r>
      <w:proofErr w:type="spellStart"/>
      <w:r w:rsidRPr="00BA5461">
        <w:rPr>
          <w:i/>
          <w:iCs/>
          <w:highlight w:val="lightGray"/>
          <w:lang w:val="en-GB"/>
        </w:rPr>
        <w:t>mattis</w:t>
      </w:r>
      <w:proofErr w:type="spellEnd"/>
      <w:r w:rsidRPr="00BA5461">
        <w:rPr>
          <w:i/>
          <w:iCs/>
          <w:highlight w:val="lightGray"/>
          <w:lang w:val="en-GB"/>
        </w:rPr>
        <w:t xml:space="preserve"> </w:t>
      </w:r>
      <w:proofErr w:type="spellStart"/>
      <w:r w:rsidRPr="00BA5461">
        <w:rPr>
          <w:i/>
          <w:iCs/>
          <w:highlight w:val="lightGray"/>
          <w:lang w:val="en-GB"/>
        </w:rPr>
        <w:t>condimentum</w:t>
      </w:r>
      <w:proofErr w:type="spellEnd"/>
      <w:r w:rsidRPr="00BA5461">
        <w:rPr>
          <w:i/>
          <w:iCs/>
          <w:highlight w:val="lightGray"/>
          <w:lang w:val="en-GB"/>
        </w:rPr>
        <w:t xml:space="preserve">. Morbi </w:t>
      </w:r>
      <w:proofErr w:type="spellStart"/>
      <w:r w:rsidRPr="00BA5461">
        <w:rPr>
          <w:i/>
          <w:iCs/>
          <w:highlight w:val="lightGray"/>
          <w:lang w:val="en-GB"/>
        </w:rPr>
        <w:t>ornare</w:t>
      </w:r>
      <w:proofErr w:type="spellEnd"/>
      <w:r w:rsidRPr="00BA5461">
        <w:rPr>
          <w:i/>
          <w:iCs/>
          <w:highlight w:val="lightGray"/>
          <w:lang w:val="en-GB"/>
        </w:rPr>
        <w:t xml:space="preserve"> </w:t>
      </w:r>
      <w:proofErr w:type="spellStart"/>
      <w:r w:rsidRPr="00BA5461">
        <w:rPr>
          <w:i/>
          <w:iCs/>
          <w:highlight w:val="lightGray"/>
          <w:lang w:val="en-GB"/>
        </w:rPr>
        <w:t>enim</w:t>
      </w:r>
      <w:proofErr w:type="spellEnd"/>
      <w:r w:rsidRPr="00BA5461">
        <w:rPr>
          <w:i/>
          <w:iCs/>
          <w:highlight w:val="lightGray"/>
          <w:lang w:val="en-GB"/>
        </w:rPr>
        <w:t xml:space="preserve"> </w:t>
      </w:r>
      <w:proofErr w:type="spellStart"/>
      <w:r w:rsidRPr="00BA5461">
        <w:rPr>
          <w:i/>
          <w:iCs/>
          <w:highlight w:val="lightGray"/>
          <w:lang w:val="en-GB"/>
        </w:rPr>
        <w:t>sed</w:t>
      </w:r>
      <w:proofErr w:type="spellEnd"/>
      <w:r w:rsidRPr="00BA5461">
        <w:rPr>
          <w:i/>
          <w:iCs/>
          <w:highlight w:val="lightGray"/>
          <w:lang w:val="en-GB"/>
        </w:rPr>
        <w:t xml:space="preserve"> </w:t>
      </w:r>
      <w:proofErr w:type="spellStart"/>
      <w:r w:rsidRPr="00BA5461">
        <w:rPr>
          <w:i/>
          <w:iCs/>
          <w:highlight w:val="lightGray"/>
          <w:lang w:val="en-GB"/>
        </w:rPr>
        <w:t>arcu</w:t>
      </w:r>
      <w:proofErr w:type="spellEnd"/>
      <w:r w:rsidRPr="00BA5461">
        <w:rPr>
          <w:i/>
          <w:iCs/>
          <w:highlight w:val="lightGray"/>
          <w:lang w:val="en-GB"/>
        </w:rPr>
        <w:t xml:space="preserve"> </w:t>
      </w:r>
      <w:proofErr w:type="spellStart"/>
      <w:r w:rsidRPr="00BA5461">
        <w:rPr>
          <w:i/>
          <w:iCs/>
          <w:highlight w:val="lightGray"/>
          <w:lang w:val="en-GB"/>
        </w:rPr>
        <w:t>tincidunt</w:t>
      </w:r>
      <w:proofErr w:type="spellEnd"/>
      <w:r w:rsidRPr="00BA5461">
        <w:rPr>
          <w:i/>
          <w:iCs/>
          <w:highlight w:val="lightGray"/>
          <w:lang w:val="en-GB"/>
        </w:rPr>
        <w:t xml:space="preserve"> </w:t>
      </w:r>
      <w:proofErr w:type="spellStart"/>
      <w:r w:rsidRPr="00BA5461">
        <w:rPr>
          <w:i/>
          <w:iCs/>
          <w:highlight w:val="lightGray"/>
          <w:lang w:val="en-GB"/>
        </w:rPr>
        <w:t>pellentesque</w:t>
      </w:r>
      <w:proofErr w:type="spellEnd"/>
      <w:r w:rsidRPr="00BA5461">
        <w:rPr>
          <w:i/>
          <w:iCs/>
          <w:highlight w:val="lightGray"/>
          <w:lang w:val="en-GB"/>
        </w:rPr>
        <w:t xml:space="preserve">. Morbi </w:t>
      </w:r>
      <w:proofErr w:type="spellStart"/>
      <w:r w:rsidRPr="00BA5461">
        <w:rPr>
          <w:i/>
          <w:iCs/>
          <w:highlight w:val="lightGray"/>
          <w:lang w:val="en-GB"/>
        </w:rPr>
        <w:t>sagittis</w:t>
      </w:r>
      <w:proofErr w:type="spellEnd"/>
      <w:r w:rsidRPr="00BA5461">
        <w:rPr>
          <w:i/>
          <w:iCs/>
          <w:highlight w:val="lightGray"/>
          <w:lang w:val="en-GB"/>
        </w:rPr>
        <w:t xml:space="preserve">, </w:t>
      </w:r>
      <w:proofErr w:type="spellStart"/>
      <w:r w:rsidRPr="00BA5461">
        <w:rPr>
          <w:i/>
          <w:iCs/>
          <w:highlight w:val="lightGray"/>
          <w:lang w:val="en-GB"/>
        </w:rPr>
        <w:t>elit</w:t>
      </w:r>
      <w:proofErr w:type="spellEnd"/>
      <w:r w:rsidRPr="00BA5461">
        <w:rPr>
          <w:i/>
          <w:iCs/>
          <w:highlight w:val="lightGray"/>
          <w:lang w:val="en-GB"/>
        </w:rPr>
        <w:t xml:space="preserve"> non </w:t>
      </w:r>
      <w:proofErr w:type="spellStart"/>
      <w:r w:rsidRPr="00BA5461">
        <w:rPr>
          <w:i/>
          <w:iCs/>
          <w:highlight w:val="lightGray"/>
          <w:lang w:val="en-GB"/>
        </w:rPr>
        <w:t>sodales</w:t>
      </w:r>
      <w:proofErr w:type="spellEnd"/>
      <w:r w:rsidRPr="00BA5461">
        <w:rPr>
          <w:i/>
          <w:iCs/>
          <w:highlight w:val="lightGray"/>
          <w:lang w:val="en-GB"/>
        </w:rPr>
        <w:t xml:space="preserve"> </w:t>
      </w:r>
      <w:proofErr w:type="spellStart"/>
      <w:r w:rsidRPr="00BA5461">
        <w:rPr>
          <w:i/>
          <w:iCs/>
          <w:highlight w:val="lightGray"/>
          <w:lang w:val="en-GB"/>
        </w:rPr>
        <w:t>finibus</w:t>
      </w:r>
      <w:proofErr w:type="spellEnd"/>
      <w:r w:rsidRPr="00BA5461">
        <w:rPr>
          <w:i/>
          <w:iCs/>
          <w:highlight w:val="lightGray"/>
          <w:lang w:val="en-GB"/>
        </w:rPr>
        <w:t xml:space="preserve">, ex </w:t>
      </w:r>
      <w:proofErr w:type="spellStart"/>
      <w:r w:rsidRPr="00BA5461">
        <w:rPr>
          <w:i/>
          <w:iCs/>
          <w:highlight w:val="lightGray"/>
          <w:lang w:val="en-GB"/>
        </w:rPr>
        <w:t>lacus</w:t>
      </w:r>
      <w:proofErr w:type="spellEnd"/>
      <w:r w:rsidRPr="00BA5461">
        <w:rPr>
          <w:i/>
          <w:iCs/>
          <w:highlight w:val="lightGray"/>
          <w:lang w:val="en-GB"/>
        </w:rPr>
        <w:t xml:space="preserve"> </w:t>
      </w:r>
      <w:proofErr w:type="spellStart"/>
      <w:r w:rsidRPr="00BA5461">
        <w:rPr>
          <w:i/>
          <w:iCs/>
          <w:highlight w:val="lightGray"/>
          <w:lang w:val="en-GB"/>
        </w:rPr>
        <w:t>aliquam</w:t>
      </w:r>
      <w:proofErr w:type="spellEnd"/>
      <w:r w:rsidRPr="00BA5461">
        <w:rPr>
          <w:i/>
          <w:iCs/>
          <w:highlight w:val="lightGray"/>
          <w:lang w:val="en-GB"/>
        </w:rPr>
        <w:t xml:space="preserve"> </w:t>
      </w:r>
      <w:proofErr w:type="spellStart"/>
      <w:r w:rsidRPr="00BA5461">
        <w:rPr>
          <w:i/>
          <w:iCs/>
          <w:highlight w:val="lightGray"/>
          <w:lang w:val="en-GB"/>
        </w:rPr>
        <w:t>lacus</w:t>
      </w:r>
      <w:proofErr w:type="spellEnd"/>
      <w:r w:rsidRPr="00BA5461">
        <w:rPr>
          <w:i/>
          <w:iCs/>
          <w:highlight w:val="lightGray"/>
          <w:lang w:val="en-GB"/>
        </w:rPr>
        <w:t xml:space="preserve">, </w:t>
      </w:r>
      <w:proofErr w:type="spellStart"/>
      <w:r w:rsidRPr="00BA5461">
        <w:rPr>
          <w:i/>
          <w:iCs/>
          <w:highlight w:val="lightGray"/>
          <w:lang w:val="en-GB"/>
        </w:rPr>
        <w:t>nec</w:t>
      </w:r>
      <w:proofErr w:type="spellEnd"/>
      <w:r w:rsidRPr="00BA5461">
        <w:rPr>
          <w:i/>
          <w:iCs/>
          <w:highlight w:val="lightGray"/>
          <w:lang w:val="en-GB"/>
        </w:rPr>
        <w:t xml:space="preserve"> </w:t>
      </w:r>
      <w:proofErr w:type="spellStart"/>
      <w:r w:rsidRPr="00BA5461">
        <w:rPr>
          <w:i/>
          <w:iCs/>
          <w:highlight w:val="lightGray"/>
          <w:lang w:val="en-GB"/>
        </w:rPr>
        <w:t>posuere</w:t>
      </w:r>
      <w:proofErr w:type="spellEnd"/>
      <w:r w:rsidRPr="00BA5461">
        <w:rPr>
          <w:i/>
          <w:iCs/>
          <w:highlight w:val="lightGray"/>
          <w:lang w:val="en-GB"/>
        </w:rPr>
        <w:t xml:space="preserve"> nisi </w:t>
      </w:r>
      <w:proofErr w:type="spellStart"/>
      <w:r w:rsidRPr="00BA5461">
        <w:rPr>
          <w:i/>
          <w:iCs/>
          <w:highlight w:val="lightGray"/>
          <w:lang w:val="en-GB"/>
        </w:rPr>
        <w:t>odio</w:t>
      </w:r>
      <w:proofErr w:type="spellEnd"/>
      <w:r w:rsidRPr="00BA5461">
        <w:rPr>
          <w:i/>
          <w:iCs/>
          <w:highlight w:val="lightGray"/>
          <w:lang w:val="en-GB"/>
        </w:rPr>
        <w:t xml:space="preserve"> et </w:t>
      </w:r>
      <w:proofErr w:type="spellStart"/>
      <w:r w:rsidRPr="00BA5461">
        <w:rPr>
          <w:i/>
          <w:iCs/>
          <w:highlight w:val="lightGray"/>
          <w:lang w:val="en-GB"/>
        </w:rPr>
        <w:t>nibh</w:t>
      </w:r>
      <w:proofErr w:type="spellEnd"/>
      <w:r w:rsidRPr="00BA5461">
        <w:rPr>
          <w:i/>
          <w:iCs/>
          <w:highlight w:val="lightGray"/>
          <w:lang w:val="en-GB"/>
        </w:rPr>
        <w:t xml:space="preserve">. </w:t>
      </w:r>
      <w:proofErr w:type="spellStart"/>
      <w:r w:rsidRPr="00BA5461">
        <w:rPr>
          <w:i/>
          <w:iCs/>
          <w:highlight w:val="lightGray"/>
          <w:lang w:val="en-GB"/>
        </w:rPr>
        <w:t>Praesent</w:t>
      </w:r>
      <w:proofErr w:type="spellEnd"/>
      <w:r w:rsidRPr="00BA5461">
        <w:rPr>
          <w:i/>
          <w:iCs/>
          <w:highlight w:val="lightGray"/>
          <w:lang w:val="en-GB"/>
        </w:rPr>
        <w:t xml:space="preserve"> sit </w:t>
      </w:r>
      <w:proofErr w:type="spellStart"/>
      <w:r w:rsidRPr="00BA5461">
        <w:rPr>
          <w:i/>
          <w:iCs/>
          <w:highlight w:val="lightGray"/>
          <w:lang w:val="en-GB"/>
        </w:rPr>
        <w:t>amet</w:t>
      </w:r>
      <w:proofErr w:type="spellEnd"/>
      <w:r w:rsidRPr="00BA5461">
        <w:rPr>
          <w:i/>
          <w:iCs/>
          <w:highlight w:val="lightGray"/>
          <w:lang w:val="en-GB"/>
        </w:rPr>
        <w:t xml:space="preserve"> </w:t>
      </w:r>
      <w:proofErr w:type="spellStart"/>
      <w:r w:rsidRPr="00BA5461">
        <w:rPr>
          <w:i/>
          <w:iCs/>
          <w:highlight w:val="lightGray"/>
          <w:lang w:val="en-GB"/>
        </w:rPr>
        <w:t>augue</w:t>
      </w:r>
      <w:proofErr w:type="spellEnd"/>
      <w:r w:rsidRPr="00BA5461">
        <w:rPr>
          <w:i/>
          <w:iCs/>
          <w:highlight w:val="lightGray"/>
          <w:lang w:val="en-GB"/>
        </w:rPr>
        <w:t xml:space="preserve"> ac </w:t>
      </w:r>
      <w:proofErr w:type="spellStart"/>
      <w:r w:rsidRPr="00BA5461">
        <w:rPr>
          <w:i/>
          <w:iCs/>
          <w:highlight w:val="lightGray"/>
          <w:lang w:val="en-GB"/>
        </w:rPr>
        <w:t>neque</w:t>
      </w:r>
      <w:proofErr w:type="spellEnd"/>
      <w:r w:rsidRPr="00BA5461">
        <w:rPr>
          <w:i/>
          <w:iCs/>
          <w:highlight w:val="lightGray"/>
          <w:lang w:val="en-GB"/>
        </w:rPr>
        <w:t xml:space="preserve"> </w:t>
      </w:r>
      <w:proofErr w:type="spellStart"/>
      <w:r w:rsidRPr="00BA5461">
        <w:rPr>
          <w:i/>
          <w:iCs/>
          <w:highlight w:val="lightGray"/>
          <w:lang w:val="en-GB"/>
        </w:rPr>
        <w:t>tempor</w:t>
      </w:r>
      <w:proofErr w:type="spellEnd"/>
      <w:r w:rsidRPr="00BA5461">
        <w:rPr>
          <w:i/>
          <w:iCs/>
          <w:highlight w:val="lightGray"/>
          <w:lang w:val="en-GB"/>
        </w:rPr>
        <w:t xml:space="preserve"> </w:t>
      </w:r>
      <w:proofErr w:type="spellStart"/>
      <w:r w:rsidRPr="00BA5461">
        <w:rPr>
          <w:i/>
          <w:iCs/>
          <w:highlight w:val="lightGray"/>
          <w:lang w:val="en-GB"/>
        </w:rPr>
        <w:t>placerat</w:t>
      </w:r>
      <w:proofErr w:type="spellEnd"/>
      <w:r w:rsidRPr="00BA5461">
        <w:rPr>
          <w:i/>
          <w:iCs/>
          <w:highlight w:val="lightGray"/>
          <w:lang w:val="en-GB"/>
        </w:rPr>
        <w:t xml:space="preserve"> </w:t>
      </w:r>
      <w:proofErr w:type="spellStart"/>
      <w:r w:rsidRPr="00BA5461">
        <w:rPr>
          <w:i/>
          <w:iCs/>
          <w:highlight w:val="lightGray"/>
          <w:lang w:val="en-GB"/>
        </w:rPr>
        <w:t>quis</w:t>
      </w:r>
      <w:proofErr w:type="spellEnd"/>
      <w:r w:rsidRPr="00BA5461">
        <w:rPr>
          <w:i/>
          <w:iCs/>
          <w:highlight w:val="lightGray"/>
          <w:lang w:val="en-GB"/>
        </w:rPr>
        <w:t xml:space="preserve"> </w:t>
      </w:r>
      <w:proofErr w:type="spellStart"/>
      <w:r w:rsidRPr="00BA5461">
        <w:rPr>
          <w:i/>
          <w:iCs/>
          <w:highlight w:val="lightGray"/>
          <w:lang w:val="en-GB"/>
        </w:rPr>
        <w:t>quis</w:t>
      </w:r>
      <w:proofErr w:type="spellEnd"/>
      <w:r w:rsidRPr="00BA5461">
        <w:rPr>
          <w:i/>
          <w:iCs/>
          <w:highlight w:val="lightGray"/>
          <w:lang w:val="en-GB"/>
        </w:rPr>
        <w:t xml:space="preserve"> </w:t>
      </w:r>
      <w:proofErr w:type="spellStart"/>
      <w:r w:rsidRPr="00BA5461">
        <w:rPr>
          <w:i/>
          <w:iCs/>
          <w:highlight w:val="lightGray"/>
          <w:lang w:val="en-GB"/>
        </w:rPr>
        <w:t>velit</w:t>
      </w:r>
      <w:proofErr w:type="spellEnd"/>
      <w:r w:rsidRPr="00BA5461">
        <w:rPr>
          <w:i/>
          <w:iCs/>
          <w:highlight w:val="lightGray"/>
          <w:lang w:val="en-GB"/>
        </w:rPr>
        <w:t>.</w:t>
      </w:r>
    </w:p>
    <w:p w14:paraId="513D6482" w14:textId="77777777" w:rsidR="000719F5" w:rsidRPr="00BA5461" w:rsidRDefault="000719F5" w:rsidP="000719F5">
      <w:pPr>
        <w:rPr>
          <w:b/>
          <w:bCs/>
          <w:lang w:val="en-GB"/>
        </w:rPr>
      </w:pPr>
      <w:r w:rsidRPr="00BA5461">
        <w:rPr>
          <w:b/>
          <w:bCs/>
          <w:lang w:val="en-GB"/>
        </w:rPr>
        <w:t>GH2 Board</w:t>
      </w:r>
    </w:p>
    <w:p w14:paraId="3B459E0D" w14:textId="77777777" w:rsidR="000719F5" w:rsidRPr="00BA5461" w:rsidRDefault="000719F5" w:rsidP="000719F5">
      <w:pPr>
        <w:rPr>
          <w:b/>
          <w:bCs/>
          <w:lang w:val="en-GB"/>
        </w:rPr>
      </w:pPr>
      <w:r w:rsidRPr="00BA5461">
        <w:rPr>
          <w:b/>
          <w:bCs/>
          <w:lang w:val="en-GB"/>
        </w:rPr>
        <w:t>April 2022</w:t>
      </w:r>
    </w:p>
    <w:p w14:paraId="347A3263" w14:textId="77777777" w:rsidR="000719F5" w:rsidRPr="00BA5461" w:rsidRDefault="000719F5" w:rsidP="000719F5">
      <w:pPr>
        <w:rPr>
          <w:lang w:val="en-GB"/>
        </w:rPr>
      </w:pPr>
    </w:p>
    <w:p w14:paraId="01D49982" w14:textId="25131306" w:rsidR="002F18F9" w:rsidRPr="00BA5461" w:rsidRDefault="002F18F9" w:rsidP="002F18F9">
      <w:pPr>
        <w:pStyle w:val="Heading1"/>
        <w:ind w:left="567" w:hanging="567"/>
        <w:rPr>
          <w:lang w:val="en-GB"/>
        </w:rPr>
      </w:pPr>
      <w:r w:rsidRPr="00BA5461">
        <w:rPr>
          <w:lang w:val="en-GB"/>
        </w:rPr>
        <w:t>Acknowledgments</w:t>
      </w:r>
    </w:p>
    <w:p w14:paraId="16F3EA27" w14:textId="77777777" w:rsidR="004B7E2D" w:rsidRPr="00BA5461" w:rsidRDefault="004B7E2D" w:rsidP="004B7E2D">
      <w:pPr>
        <w:spacing w:before="240" w:after="240"/>
        <w:rPr>
          <w:lang w:val="en-GB"/>
        </w:rPr>
      </w:pPr>
      <w:r w:rsidRPr="00BA5461">
        <w:rPr>
          <w:lang w:val="en-GB"/>
        </w:rPr>
        <w:t>In December 2021 the GH2 formed a Technical Committee to advise the GH2 Board on the development of the Standard. The Green Hydrogen Organisation thanks the following organisations and individuals for their advice and input:</w:t>
      </w:r>
    </w:p>
    <w:p w14:paraId="266AA4F3" w14:textId="143CA53D" w:rsidR="004B7E2D" w:rsidRPr="007D23B7" w:rsidRDefault="00FF5192" w:rsidP="004B7E2D">
      <w:pPr>
        <w:spacing w:before="240" w:after="240"/>
        <w:rPr>
          <w:color w:val="FF0000"/>
          <w:lang w:val="en-GB"/>
        </w:rPr>
      </w:pPr>
      <w:r w:rsidRPr="007D23B7">
        <w:rPr>
          <w:color w:val="FF0000"/>
          <w:lang w:val="en-GB"/>
        </w:rPr>
        <w:t>[T</w:t>
      </w:r>
      <w:r w:rsidR="009A510C" w:rsidRPr="007D23B7">
        <w:rPr>
          <w:color w:val="FF0000"/>
          <w:lang w:val="en-GB"/>
        </w:rPr>
        <w:t>BC</w:t>
      </w:r>
      <w:r w:rsidRPr="007D23B7">
        <w:rPr>
          <w:color w:val="FF0000"/>
          <w:lang w:val="en-GB"/>
        </w:rPr>
        <w:t>]</w:t>
      </w:r>
    </w:p>
    <w:p w14:paraId="2BDC2C90" w14:textId="77777777" w:rsidR="00264339" w:rsidRPr="00BA5461" w:rsidRDefault="00264339" w:rsidP="00A67E4D">
      <w:pPr>
        <w:pStyle w:val="Heading1"/>
        <w:ind w:left="567" w:hanging="567"/>
        <w:rPr>
          <w:lang w:val="en-GB"/>
        </w:rPr>
      </w:pPr>
      <w:r w:rsidRPr="00BA5461">
        <w:rPr>
          <w:lang w:val="en-GB"/>
        </w:rPr>
        <w:br w:type="page"/>
      </w:r>
    </w:p>
    <w:p w14:paraId="68366F38" w14:textId="60B21BAA" w:rsidR="00585CF0" w:rsidRPr="00BA5461" w:rsidRDefault="00D20C1A" w:rsidP="00A67E4D">
      <w:pPr>
        <w:pStyle w:val="Heading1"/>
        <w:ind w:left="567" w:hanging="567"/>
        <w:rPr>
          <w:lang w:val="en-GB"/>
        </w:rPr>
      </w:pPr>
      <w:r w:rsidRPr="00BA5461">
        <w:rPr>
          <w:lang w:val="en-GB"/>
        </w:rPr>
        <w:lastRenderedPageBreak/>
        <w:t xml:space="preserve">1. </w:t>
      </w:r>
      <w:r w:rsidR="00A67E4D" w:rsidRPr="00BA5461">
        <w:rPr>
          <w:lang w:val="en-GB"/>
        </w:rPr>
        <w:tab/>
      </w:r>
      <w:r w:rsidR="00BA3071" w:rsidRPr="00BA5461">
        <w:rPr>
          <w:lang w:val="en-GB"/>
        </w:rPr>
        <w:t>Introduction</w:t>
      </w:r>
      <w:bookmarkEnd w:id="1"/>
    </w:p>
    <w:p w14:paraId="2E8FAA42" w14:textId="1E69844E" w:rsidR="009A510C" w:rsidRPr="00BA5461" w:rsidRDefault="009A510C" w:rsidP="00585CF0">
      <w:pPr>
        <w:spacing w:before="240" w:after="240"/>
        <w:rPr>
          <w:lang w:val="en-GB"/>
        </w:rPr>
      </w:pPr>
      <w:r w:rsidRPr="00BA5461">
        <w:rPr>
          <w:lang w:val="en-GB"/>
        </w:rPr>
        <w:t xml:space="preserve">Green hydrogen producers are </w:t>
      </w:r>
      <w:r w:rsidR="008D549C" w:rsidRPr="00BA5461">
        <w:rPr>
          <w:lang w:val="en-GB"/>
        </w:rPr>
        <w:t xml:space="preserve">invited to submit their projects </w:t>
      </w:r>
      <w:r w:rsidR="008E4C5C" w:rsidRPr="00BA5461">
        <w:rPr>
          <w:lang w:val="en-GB"/>
        </w:rPr>
        <w:t xml:space="preserve">for accreditation </w:t>
      </w:r>
      <w:r w:rsidR="003D691C" w:rsidRPr="00BA5461">
        <w:rPr>
          <w:lang w:val="en-GB"/>
        </w:rPr>
        <w:t xml:space="preserve">and certification </w:t>
      </w:r>
      <w:r w:rsidR="008E4C5C" w:rsidRPr="00BA5461">
        <w:rPr>
          <w:lang w:val="en-GB"/>
        </w:rPr>
        <w:t xml:space="preserve">by the </w:t>
      </w:r>
      <w:r w:rsidR="00683969" w:rsidRPr="00BA5461">
        <w:rPr>
          <w:lang w:val="en-GB"/>
        </w:rPr>
        <w:t>Green Hydrogen Organisation</w:t>
      </w:r>
      <w:r w:rsidR="003D691C" w:rsidRPr="00BA5461">
        <w:rPr>
          <w:lang w:val="en-GB"/>
        </w:rPr>
        <w:t xml:space="preserve"> (GH2)</w:t>
      </w:r>
      <w:r w:rsidR="001360C2" w:rsidRPr="00BA5461">
        <w:rPr>
          <w:lang w:val="en-GB"/>
        </w:rPr>
        <w:t xml:space="preserve">. </w:t>
      </w:r>
      <w:r w:rsidR="008E4C5C" w:rsidRPr="00BA5461">
        <w:rPr>
          <w:lang w:val="en-GB"/>
        </w:rPr>
        <w:t xml:space="preserve">Green Hydrogen projects that meet the Green Hydrogen Standard </w:t>
      </w:r>
      <w:r w:rsidR="001360C2" w:rsidRPr="00BA5461">
        <w:rPr>
          <w:lang w:val="en-GB"/>
        </w:rPr>
        <w:t xml:space="preserve">(as set out below) </w:t>
      </w:r>
      <w:r w:rsidR="008E4C5C" w:rsidRPr="00BA5461">
        <w:rPr>
          <w:lang w:val="en-GB"/>
        </w:rPr>
        <w:t xml:space="preserve">will be licensed by GH2’s </w:t>
      </w:r>
      <w:r w:rsidR="00986DF6" w:rsidRPr="00BA5461">
        <w:rPr>
          <w:lang w:val="en-GB"/>
        </w:rPr>
        <w:t xml:space="preserve">accreditation and </w:t>
      </w:r>
      <w:r w:rsidR="008E4C5C" w:rsidRPr="00BA5461">
        <w:rPr>
          <w:lang w:val="en-GB"/>
        </w:rPr>
        <w:t>certification body to use the label “GH2 Green Hydrogen” and will be eligible to obtain and trade GH2 certificates of origin</w:t>
      </w:r>
      <w:r w:rsidR="005D6D2C" w:rsidRPr="00BA5461">
        <w:rPr>
          <w:lang w:val="en-GB"/>
        </w:rPr>
        <w:t>.</w:t>
      </w:r>
    </w:p>
    <w:p w14:paraId="2245D84E" w14:textId="00FDA727" w:rsidR="00585CF0" w:rsidRPr="00BA5461" w:rsidRDefault="006D53AD" w:rsidP="00585CF0">
      <w:pPr>
        <w:spacing w:before="240" w:after="240"/>
        <w:rPr>
          <w:lang w:val="en-GB"/>
        </w:rPr>
      </w:pPr>
      <w:r w:rsidRPr="00BA5461">
        <w:rPr>
          <w:lang w:val="en-GB"/>
        </w:rPr>
        <w:t xml:space="preserve">The </w:t>
      </w:r>
      <w:r w:rsidR="00E00B65" w:rsidRPr="00BA5461">
        <w:rPr>
          <w:lang w:val="en-GB"/>
        </w:rPr>
        <w:t xml:space="preserve">Green Hydrogen Standard (hereafter “the </w:t>
      </w:r>
      <w:r w:rsidR="00521406" w:rsidRPr="00BA5461">
        <w:rPr>
          <w:lang w:val="en-GB"/>
        </w:rPr>
        <w:t>Standard</w:t>
      </w:r>
      <w:r w:rsidR="00E00B65" w:rsidRPr="00BA5461">
        <w:rPr>
          <w:lang w:val="en-GB"/>
        </w:rPr>
        <w:t xml:space="preserve">”) </w:t>
      </w:r>
      <w:r w:rsidR="00585CF0" w:rsidRPr="00BA5461">
        <w:rPr>
          <w:lang w:val="en-GB"/>
        </w:rPr>
        <w:t xml:space="preserve">establishes a global definition of green hydrogen. Green hydrogen is hydrogen produced through the electrolysis of water with </w:t>
      </w:r>
      <w:r w:rsidR="003D691C" w:rsidRPr="00BA5461">
        <w:rPr>
          <w:lang w:val="en-GB"/>
        </w:rPr>
        <w:t xml:space="preserve">100% or near 100% </w:t>
      </w:r>
      <w:r w:rsidR="00585CF0" w:rsidRPr="00BA5461">
        <w:rPr>
          <w:lang w:val="en-GB"/>
        </w:rPr>
        <w:t xml:space="preserve">renewable energy with close to zero greenhouse gas emissions. It requires that the environmental, social and governance consequences </w:t>
      </w:r>
      <w:r w:rsidR="00E00B65" w:rsidRPr="00BA5461">
        <w:rPr>
          <w:lang w:val="en-GB"/>
        </w:rPr>
        <w:t xml:space="preserve">of green hydrogen production </w:t>
      </w:r>
      <w:r w:rsidR="00585CF0" w:rsidRPr="00BA5461">
        <w:rPr>
          <w:lang w:val="en-GB"/>
        </w:rPr>
        <w:t xml:space="preserve">are </w:t>
      </w:r>
      <w:r w:rsidR="00E00B65" w:rsidRPr="00BA5461">
        <w:rPr>
          <w:lang w:val="en-GB"/>
        </w:rPr>
        <w:t xml:space="preserve">thoroughly </w:t>
      </w:r>
      <w:r w:rsidR="000914ED" w:rsidRPr="00BA5461">
        <w:rPr>
          <w:lang w:val="en-GB"/>
        </w:rPr>
        <w:t>evaluated</w:t>
      </w:r>
      <w:r w:rsidR="00585CF0" w:rsidRPr="00BA5461">
        <w:rPr>
          <w:lang w:val="en-GB"/>
        </w:rPr>
        <w:t xml:space="preserve">. </w:t>
      </w:r>
      <w:r w:rsidR="00005071" w:rsidRPr="00BA5461">
        <w:rPr>
          <w:lang w:val="en-GB"/>
        </w:rPr>
        <w:t xml:space="preserve">It also requires that the </w:t>
      </w:r>
      <w:r w:rsidR="00585CF0" w:rsidRPr="00BA5461">
        <w:rPr>
          <w:lang w:val="en-GB"/>
        </w:rPr>
        <w:t>development opportunities and impacts of green hydrogen production and use are fully considered.</w:t>
      </w:r>
    </w:p>
    <w:p w14:paraId="3679FD18" w14:textId="786F757C" w:rsidR="001D4255" w:rsidRPr="00E4415F" w:rsidRDefault="00924D72" w:rsidP="00D52356">
      <w:pPr>
        <w:spacing w:before="240" w:after="240"/>
        <w:rPr>
          <w:color w:val="FF0000"/>
          <w:lang w:val="en-GB"/>
        </w:rPr>
      </w:pPr>
      <w:r w:rsidRPr="00E4415F">
        <w:rPr>
          <w:color w:val="FF0000"/>
          <w:lang w:val="en-GB"/>
        </w:rPr>
        <w:t>The Green Hydrogen Standard is a project-</w:t>
      </w:r>
      <w:r w:rsidR="00CB74EB" w:rsidRPr="00E4415F">
        <w:rPr>
          <w:color w:val="FF0000"/>
          <w:lang w:val="en-GB"/>
        </w:rPr>
        <w:t xml:space="preserve">based </w:t>
      </w:r>
      <w:r w:rsidR="00A107EA" w:rsidRPr="00E4415F">
        <w:rPr>
          <w:color w:val="FF0000"/>
          <w:lang w:val="en-GB"/>
        </w:rPr>
        <w:t xml:space="preserve">(production site specific) </w:t>
      </w:r>
      <w:r w:rsidRPr="00E4415F">
        <w:rPr>
          <w:color w:val="FF0000"/>
          <w:lang w:val="en-GB"/>
        </w:rPr>
        <w:t>certification and accreditation system</w:t>
      </w:r>
      <w:r w:rsidR="003D691C" w:rsidRPr="00E4415F">
        <w:rPr>
          <w:color w:val="FF0000"/>
          <w:lang w:val="en-GB"/>
        </w:rPr>
        <w:t xml:space="preserve"> (see Figure 1)</w:t>
      </w:r>
      <w:r w:rsidRPr="00E4415F">
        <w:rPr>
          <w:color w:val="FF0000"/>
          <w:lang w:val="en-GB"/>
        </w:rPr>
        <w:t xml:space="preserve">. </w:t>
      </w:r>
    </w:p>
    <w:p w14:paraId="4DE8F5E0" w14:textId="7014D6C7" w:rsidR="001D4255" w:rsidRPr="00E4415F" w:rsidRDefault="00D84DF4" w:rsidP="00D52356">
      <w:pPr>
        <w:spacing w:before="240" w:after="240"/>
        <w:rPr>
          <w:color w:val="FF0000"/>
          <w:lang w:val="en-GB"/>
        </w:rPr>
      </w:pPr>
      <w:r w:rsidRPr="00E4415F">
        <w:rPr>
          <w:noProof/>
          <w:color w:val="FF0000"/>
          <w:lang w:val="en-GB"/>
        </w:rPr>
        <w:drawing>
          <wp:inline distT="0" distB="0" distL="0" distR="0" wp14:anchorId="6A807A50" wp14:editId="5E20AA5C">
            <wp:extent cx="6116320" cy="347345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6116320" cy="3473450"/>
                    </a:xfrm>
                    <a:prstGeom prst="rect">
                      <a:avLst/>
                    </a:prstGeom>
                  </pic:spPr>
                </pic:pic>
              </a:graphicData>
            </a:graphic>
          </wp:inline>
        </w:drawing>
      </w:r>
    </w:p>
    <w:p w14:paraId="64410296" w14:textId="228DC20A" w:rsidR="00AD4041" w:rsidRPr="00BA5461" w:rsidRDefault="00187328" w:rsidP="00D52356">
      <w:pPr>
        <w:spacing w:before="240" w:after="240"/>
        <w:rPr>
          <w:lang w:val="en-GB"/>
        </w:rPr>
      </w:pPr>
      <w:r w:rsidRPr="00BA5461">
        <w:rPr>
          <w:lang w:val="en-GB"/>
        </w:rPr>
        <w:t>The Green Hydrogen Standard provides a clear global minimum standard, while also retaining the flexibility to accommodate local challenges and opportunities.</w:t>
      </w:r>
      <w:r w:rsidRPr="00BA5461">
        <w:rPr>
          <w:lang w:val="en-GB"/>
        </w:rPr>
        <w:t xml:space="preserve"> </w:t>
      </w:r>
      <w:r w:rsidR="00B51997" w:rsidRPr="00BA5461">
        <w:rPr>
          <w:lang w:val="en-GB"/>
        </w:rPr>
        <w:t xml:space="preserve">The </w:t>
      </w:r>
      <w:r w:rsidR="00924D72" w:rsidRPr="00BA5461">
        <w:rPr>
          <w:lang w:val="en-GB"/>
        </w:rPr>
        <w:t>Standard</w:t>
      </w:r>
      <w:r w:rsidR="00792E3C" w:rsidRPr="00BA5461">
        <w:rPr>
          <w:lang w:val="en-GB"/>
        </w:rPr>
        <w:t xml:space="preserve"> places the onus on </w:t>
      </w:r>
      <w:r w:rsidR="00721614" w:rsidRPr="00BA5461">
        <w:rPr>
          <w:lang w:val="en-GB"/>
        </w:rPr>
        <w:t xml:space="preserve">green hydrogen </w:t>
      </w:r>
      <w:r w:rsidR="00792E3C" w:rsidRPr="00BA5461">
        <w:rPr>
          <w:lang w:val="en-GB"/>
        </w:rPr>
        <w:t xml:space="preserve">producers </w:t>
      </w:r>
      <w:r w:rsidR="00D52356" w:rsidRPr="00BA5461">
        <w:rPr>
          <w:lang w:val="en-GB"/>
        </w:rPr>
        <w:t xml:space="preserve">to demonstrate that they </w:t>
      </w:r>
      <w:r w:rsidR="00792E3C" w:rsidRPr="00BA5461">
        <w:rPr>
          <w:lang w:val="en-GB"/>
        </w:rPr>
        <w:t xml:space="preserve">are addressing the </w:t>
      </w:r>
      <w:r w:rsidR="00936AA7" w:rsidRPr="00BA5461">
        <w:rPr>
          <w:lang w:val="en-GB"/>
        </w:rPr>
        <w:t xml:space="preserve">environmental, social and governance performance of their projects in accordance with national laws and regulation and global best practice. </w:t>
      </w:r>
      <w:r w:rsidR="00AD4041" w:rsidRPr="00BA5461">
        <w:rPr>
          <w:lang w:val="en-GB"/>
        </w:rPr>
        <w:t xml:space="preserve">The Standard seeks to ensure consistency and credibility, while also maintaining country ownership. </w:t>
      </w:r>
    </w:p>
    <w:p w14:paraId="170FC0CE" w14:textId="4FF2EAB4" w:rsidR="00522580" w:rsidRPr="00BA5461" w:rsidRDefault="00B97980" w:rsidP="00D52356">
      <w:pPr>
        <w:spacing w:before="240" w:after="240"/>
        <w:rPr>
          <w:lang w:val="en-GB"/>
        </w:rPr>
      </w:pPr>
      <w:r w:rsidRPr="00BA5461">
        <w:rPr>
          <w:lang w:val="en-GB"/>
        </w:rPr>
        <w:t xml:space="preserve">GH2 embraces the principle and practice of accountability by government and industry to all citizens for the stewardship of natural resources. </w:t>
      </w:r>
      <w:r w:rsidR="00827548" w:rsidRPr="00BA5461">
        <w:rPr>
          <w:lang w:val="en-GB"/>
        </w:rPr>
        <w:t>C</w:t>
      </w:r>
      <w:r w:rsidR="00AD4041" w:rsidRPr="00BA5461">
        <w:rPr>
          <w:lang w:val="en-GB"/>
        </w:rPr>
        <w:t xml:space="preserve">ertification and accreditation </w:t>
      </w:r>
      <w:r w:rsidR="00EE2284" w:rsidRPr="00BA5461">
        <w:rPr>
          <w:lang w:val="en-GB"/>
        </w:rPr>
        <w:t>by GH2 require</w:t>
      </w:r>
      <w:r w:rsidR="00AD4041" w:rsidRPr="00BA5461">
        <w:rPr>
          <w:lang w:val="en-GB"/>
        </w:rPr>
        <w:t xml:space="preserve"> </w:t>
      </w:r>
      <w:r w:rsidR="00827548" w:rsidRPr="00BA5461">
        <w:rPr>
          <w:lang w:val="en-GB"/>
        </w:rPr>
        <w:t xml:space="preserve">that green hydrogen </w:t>
      </w:r>
      <w:r w:rsidR="00827548" w:rsidRPr="00BA5461">
        <w:rPr>
          <w:lang w:val="en-GB"/>
        </w:rPr>
        <w:lastRenderedPageBreak/>
        <w:t>projects are subject to a credible, independent assessment, applying international assurance standards. The procedure</w:t>
      </w:r>
      <w:r w:rsidRPr="00BA5461">
        <w:rPr>
          <w:lang w:val="en-GB"/>
        </w:rPr>
        <w:t>s</w:t>
      </w:r>
      <w:r w:rsidR="00827548" w:rsidRPr="00BA5461">
        <w:rPr>
          <w:lang w:val="en-GB"/>
        </w:rPr>
        <w:t xml:space="preserve"> </w:t>
      </w:r>
      <w:r w:rsidR="003E1192" w:rsidRPr="00BA5461">
        <w:rPr>
          <w:lang w:val="en-GB"/>
        </w:rPr>
        <w:t>emphasi</w:t>
      </w:r>
      <w:r w:rsidR="003E1192">
        <w:rPr>
          <w:lang w:val="en-GB"/>
        </w:rPr>
        <w:t>s</w:t>
      </w:r>
      <w:r w:rsidR="003E1192" w:rsidRPr="00BA5461">
        <w:rPr>
          <w:lang w:val="en-GB"/>
        </w:rPr>
        <w:t xml:space="preserve">e </w:t>
      </w:r>
      <w:r w:rsidR="009F0948" w:rsidRPr="00BA5461">
        <w:rPr>
          <w:lang w:val="en-GB"/>
        </w:rPr>
        <w:t xml:space="preserve">openness and </w:t>
      </w:r>
      <w:r w:rsidR="00552F16" w:rsidRPr="00BA5461">
        <w:rPr>
          <w:lang w:val="en-GB"/>
        </w:rPr>
        <w:t>stakeholder consultation</w:t>
      </w:r>
      <w:r w:rsidR="0015400B" w:rsidRPr="00BA5461">
        <w:rPr>
          <w:lang w:val="en-GB"/>
        </w:rPr>
        <w:t xml:space="preserve">. </w:t>
      </w:r>
    </w:p>
    <w:p w14:paraId="459B88BF" w14:textId="6EF3F0D1" w:rsidR="00836126" w:rsidRPr="00BA5461" w:rsidRDefault="00A67E4D" w:rsidP="00ED7A0B">
      <w:pPr>
        <w:pStyle w:val="Heading2"/>
        <w:spacing w:before="120" w:after="120"/>
        <w:rPr>
          <w:lang w:val="en-GB"/>
        </w:rPr>
      </w:pPr>
      <w:bookmarkStart w:id="3" w:name="_Toc94641807"/>
      <w:r w:rsidRPr="00BA5461">
        <w:rPr>
          <w:lang w:val="en-GB"/>
        </w:rPr>
        <w:t>1</w:t>
      </w:r>
      <w:r w:rsidR="00836126" w:rsidRPr="00BA5461">
        <w:rPr>
          <w:lang w:val="en-GB"/>
        </w:rPr>
        <w:t>.1</w:t>
      </w:r>
      <w:r w:rsidR="00836126" w:rsidRPr="00BA5461">
        <w:rPr>
          <w:lang w:val="en-GB"/>
        </w:rPr>
        <w:tab/>
      </w:r>
      <w:r w:rsidR="005A372E" w:rsidRPr="00BA5461">
        <w:rPr>
          <w:lang w:val="en-GB"/>
        </w:rPr>
        <w:t>Rigorous accounting of greenhouse gas emissions – guaranteeing close to zero emissions</w:t>
      </w:r>
      <w:bookmarkEnd w:id="3"/>
    </w:p>
    <w:p w14:paraId="0D054A8B" w14:textId="153A0034" w:rsidR="006F7A8E" w:rsidRPr="00BA5461" w:rsidRDefault="00ED7A0B" w:rsidP="001A6B26">
      <w:pPr>
        <w:rPr>
          <w:lang w:val="en-GB"/>
        </w:rPr>
      </w:pPr>
      <w:r w:rsidRPr="00BA5461">
        <w:rPr>
          <w:lang w:val="en-GB"/>
        </w:rPr>
        <w:t xml:space="preserve">The Green Hydrogen Standard sets a maximum </w:t>
      </w:r>
      <w:r w:rsidR="001E15D5" w:rsidRPr="00BA5461">
        <w:rPr>
          <w:lang w:val="en-GB"/>
        </w:rPr>
        <w:t xml:space="preserve">threshold </w:t>
      </w:r>
      <w:r w:rsidRPr="00BA5461">
        <w:rPr>
          <w:lang w:val="en-GB"/>
        </w:rPr>
        <w:t>for greenhouse gas emissions</w:t>
      </w:r>
      <w:r w:rsidR="00B911BB" w:rsidRPr="00BA5461">
        <w:rPr>
          <w:lang w:val="en-GB"/>
        </w:rPr>
        <w:t xml:space="preserve"> of</w:t>
      </w:r>
      <w:r w:rsidR="00B911BB" w:rsidRPr="00BA5461">
        <w:rPr>
          <w:b/>
          <w:bCs/>
          <w:color w:val="FF0000"/>
          <w:lang w:val="en-GB"/>
        </w:rPr>
        <w:t xml:space="preserve"> </w:t>
      </w:r>
      <w:r w:rsidR="00421391" w:rsidRPr="00BA5461">
        <w:rPr>
          <w:b/>
          <w:bCs/>
          <w:color w:val="FF0000"/>
          <w:lang w:val="en-GB"/>
        </w:rPr>
        <w:t>[</w:t>
      </w:r>
      <w:r w:rsidR="00B911BB" w:rsidRPr="00BA5461">
        <w:rPr>
          <w:b/>
          <w:bCs/>
          <w:color w:val="FF0000"/>
          <w:lang w:val="en-GB"/>
        </w:rPr>
        <w:t>1 kg CO2e per kg H</w:t>
      </w:r>
      <w:r w:rsidR="00B911BB" w:rsidRPr="00BA5461">
        <w:rPr>
          <w:b/>
          <w:bCs/>
          <w:color w:val="FF0000"/>
          <w:vertAlign w:val="subscript"/>
          <w:lang w:val="en-GB"/>
        </w:rPr>
        <w:t>2</w:t>
      </w:r>
      <w:r w:rsidR="00421391" w:rsidRPr="00BA5461">
        <w:rPr>
          <w:b/>
          <w:bCs/>
          <w:color w:val="FF0000"/>
          <w:lang w:val="en-GB"/>
        </w:rPr>
        <w:t>].</w:t>
      </w:r>
      <w:r w:rsidR="00421391" w:rsidRPr="00BA5461">
        <w:rPr>
          <w:b/>
          <w:color w:val="FF0000"/>
          <w:lang w:val="en-GB"/>
        </w:rPr>
        <w:t xml:space="preserve"> </w:t>
      </w:r>
      <w:r w:rsidR="00522580" w:rsidRPr="00BA5461">
        <w:rPr>
          <w:lang w:val="en-GB"/>
        </w:rPr>
        <w:t xml:space="preserve">GH2 has worked with stakeholders to develop an emission measurement approach that builds on international best practice and that enables comparisons with other hydrogen production pathways. </w:t>
      </w:r>
      <w:r w:rsidR="00986E85" w:rsidRPr="00BA5461">
        <w:rPr>
          <w:lang w:val="en-GB"/>
        </w:rPr>
        <w:t xml:space="preserve">The GH2 Standard is rigorous, yet practical, with </w:t>
      </w:r>
      <w:r w:rsidR="006F7A8E" w:rsidRPr="00BA5461">
        <w:rPr>
          <w:lang w:val="en-GB"/>
        </w:rPr>
        <w:t xml:space="preserve">emission </w:t>
      </w:r>
      <w:r w:rsidR="00986E85" w:rsidRPr="00BA5461">
        <w:rPr>
          <w:lang w:val="en-GB"/>
        </w:rPr>
        <w:t xml:space="preserve">accounting procedures and thresholds that can be applied consistently to grid and off grid production. </w:t>
      </w:r>
    </w:p>
    <w:p w14:paraId="27BD4444" w14:textId="0A4AFD84" w:rsidR="00902160" w:rsidRPr="00BA5461" w:rsidRDefault="001A6B26" w:rsidP="001A6B26">
      <w:pPr>
        <w:rPr>
          <w:lang w:val="en-GB"/>
        </w:rPr>
      </w:pPr>
      <w:r w:rsidRPr="00BA5461">
        <w:rPr>
          <w:lang w:val="en-GB"/>
        </w:rPr>
        <w:t xml:space="preserve">The boundaries of the carbon accounting system and the thresholds at which hydrogen is considered “green” need to be clearly defined and trusted as credible by all stakeholders. </w:t>
      </w:r>
      <w:r w:rsidR="009D05FB" w:rsidRPr="007D23B7">
        <w:rPr>
          <w:color w:val="FF0000"/>
          <w:lang w:val="en-GB"/>
        </w:rPr>
        <w:t xml:space="preserve">With some modifications, </w:t>
      </w:r>
      <w:r w:rsidR="004A2CC0" w:rsidRPr="007D23B7">
        <w:rPr>
          <w:color w:val="FF0000"/>
          <w:lang w:val="en-GB"/>
        </w:rPr>
        <w:t>GH2 applies the</w:t>
      </w:r>
      <w:r w:rsidR="00BC274C" w:rsidRPr="007D23B7">
        <w:rPr>
          <w:color w:val="FF0000"/>
          <w:lang w:val="en-GB"/>
        </w:rPr>
        <w:t xml:space="preserve"> methodology </w:t>
      </w:r>
      <w:r w:rsidR="00266513" w:rsidRPr="007D23B7">
        <w:rPr>
          <w:color w:val="FF0000"/>
          <w:lang w:val="en-GB"/>
        </w:rPr>
        <w:t xml:space="preserve">for </w:t>
      </w:r>
      <w:r w:rsidR="00150478" w:rsidRPr="007D23B7">
        <w:rPr>
          <w:color w:val="FF0000"/>
          <w:lang w:val="en-GB"/>
        </w:rPr>
        <w:t xml:space="preserve">the </w:t>
      </w:r>
      <w:r w:rsidR="00266513" w:rsidRPr="007D23B7">
        <w:rPr>
          <w:color w:val="FF0000"/>
          <w:lang w:val="en-GB"/>
        </w:rPr>
        <w:t xml:space="preserve">electrolysis </w:t>
      </w:r>
      <w:r w:rsidR="007539DD" w:rsidRPr="007D23B7">
        <w:rPr>
          <w:color w:val="FF0000"/>
          <w:lang w:val="en-GB"/>
        </w:rPr>
        <w:t xml:space="preserve">production </w:t>
      </w:r>
      <w:r w:rsidR="00FE2AA0" w:rsidRPr="007D23B7">
        <w:rPr>
          <w:color w:val="FF0000"/>
          <w:lang w:val="en-GB"/>
        </w:rPr>
        <w:t>path</w:t>
      </w:r>
      <w:r w:rsidR="00150478" w:rsidRPr="007D23B7">
        <w:rPr>
          <w:color w:val="FF0000"/>
          <w:lang w:val="en-GB"/>
        </w:rPr>
        <w:t xml:space="preserve">way being developed </w:t>
      </w:r>
      <w:r w:rsidR="00BC274C" w:rsidRPr="007D23B7">
        <w:rPr>
          <w:color w:val="FF0000"/>
          <w:lang w:val="en-GB"/>
        </w:rPr>
        <w:t>by the</w:t>
      </w:r>
      <w:r w:rsidR="004A2CC0" w:rsidRPr="007D23B7">
        <w:rPr>
          <w:color w:val="FF0000"/>
          <w:lang w:val="en-GB"/>
        </w:rPr>
        <w:t xml:space="preserve"> </w:t>
      </w:r>
      <w:r w:rsidR="006E414D" w:rsidRPr="007D23B7">
        <w:rPr>
          <w:color w:val="FF0000"/>
          <w:lang w:val="en-GB"/>
        </w:rPr>
        <w:t>International Partnership for Hydrogen and Fuel Cells in the Economy</w:t>
      </w:r>
      <w:r w:rsidR="00BC274C" w:rsidRPr="007D23B7">
        <w:rPr>
          <w:color w:val="FF0000"/>
          <w:lang w:val="en-GB"/>
        </w:rPr>
        <w:t xml:space="preserve"> (IPHE)</w:t>
      </w:r>
      <w:r w:rsidR="004A2CC0" w:rsidRPr="007D23B7">
        <w:rPr>
          <w:color w:val="FF0000"/>
          <w:lang w:val="en-GB"/>
        </w:rPr>
        <w:t xml:space="preserve"> </w:t>
      </w:r>
      <w:r w:rsidR="00F973EF" w:rsidRPr="007D23B7">
        <w:rPr>
          <w:color w:val="FF0000"/>
          <w:lang w:val="en-GB"/>
        </w:rPr>
        <w:t xml:space="preserve">as outlined in the </w:t>
      </w:r>
      <w:r w:rsidR="004A2CC0" w:rsidRPr="007D23B7">
        <w:rPr>
          <w:i/>
          <w:iCs/>
          <w:color w:val="FF0000"/>
          <w:lang w:val="en-GB"/>
        </w:rPr>
        <w:t>Working Paper Methodology for Determining the Greenhouse Gas Emissions Associated with the Production of Hydrogen</w:t>
      </w:r>
      <w:r w:rsidR="006F3DDE" w:rsidRPr="007D23B7">
        <w:rPr>
          <w:color w:val="FF0000"/>
          <w:lang w:val="en-GB"/>
        </w:rPr>
        <w:t xml:space="preserve"> (see Annex 1)</w:t>
      </w:r>
      <w:r w:rsidR="00F973EF" w:rsidRPr="007D23B7">
        <w:rPr>
          <w:color w:val="FF0000"/>
          <w:lang w:val="en-GB"/>
        </w:rPr>
        <w:t>.</w:t>
      </w:r>
      <w:r w:rsidR="001B62FD" w:rsidRPr="007D23B7">
        <w:rPr>
          <w:rStyle w:val="FootnoteReference"/>
          <w:color w:val="FF0000"/>
          <w:lang w:val="en-GB"/>
        </w:rPr>
        <w:footnoteReference w:id="2"/>
      </w:r>
      <w:r w:rsidR="004A2CC0" w:rsidRPr="007D23B7">
        <w:rPr>
          <w:color w:val="FF0000"/>
          <w:lang w:val="en-GB"/>
        </w:rPr>
        <w:t xml:space="preserve"> </w:t>
      </w:r>
      <w:r w:rsidR="00431125" w:rsidRPr="007D23B7">
        <w:rPr>
          <w:color w:val="FF0000"/>
          <w:lang w:val="en-GB"/>
        </w:rPr>
        <w:t xml:space="preserve">The </w:t>
      </w:r>
      <w:r w:rsidR="00F973EF" w:rsidRPr="007D23B7">
        <w:rPr>
          <w:color w:val="FF0000"/>
          <w:lang w:val="en-GB"/>
        </w:rPr>
        <w:t xml:space="preserve">IPHE </w:t>
      </w:r>
      <w:r w:rsidR="006F7A8E" w:rsidRPr="007D23B7">
        <w:rPr>
          <w:color w:val="FF0000"/>
          <w:lang w:val="en-GB"/>
        </w:rPr>
        <w:t>does</w:t>
      </w:r>
      <w:r w:rsidR="00431125" w:rsidRPr="007D23B7">
        <w:rPr>
          <w:color w:val="FF0000"/>
          <w:lang w:val="en-GB"/>
        </w:rPr>
        <w:t xml:space="preserve"> not establish </w:t>
      </w:r>
      <w:r w:rsidR="00734550" w:rsidRPr="007D23B7">
        <w:rPr>
          <w:color w:val="FF0000"/>
          <w:lang w:val="en-GB"/>
        </w:rPr>
        <w:t>emissions threshold</w:t>
      </w:r>
      <w:r w:rsidR="00431125" w:rsidRPr="007D23B7">
        <w:rPr>
          <w:color w:val="FF0000"/>
          <w:lang w:val="en-GB"/>
        </w:rPr>
        <w:t>s</w:t>
      </w:r>
      <w:r w:rsidR="00734550" w:rsidRPr="007D23B7">
        <w:rPr>
          <w:color w:val="FF0000"/>
          <w:lang w:val="en-GB"/>
        </w:rPr>
        <w:t>.</w:t>
      </w:r>
      <w:r w:rsidR="00421391" w:rsidRPr="00BA5461">
        <w:rPr>
          <w:color w:val="FF0000"/>
          <w:lang w:val="en-GB"/>
        </w:rPr>
        <w:t>]</w:t>
      </w:r>
      <w:r w:rsidR="00365100" w:rsidRPr="00BA5461">
        <w:rPr>
          <w:color w:val="FF0000"/>
          <w:lang w:val="en-GB"/>
        </w:rPr>
        <w:t xml:space="preserve">. </w:t>
      </w:r>
      <w:r w:rsidR="00206CAA" w:rsidRPr="00BA5461">
        <w:rPr>
          <w:color w:val="FF0000"/>
          <w:lang w:val="en-GB"/>
        </w:rPr>
        <w:t>GH2’s approach addresses the storage, conversion and delivery of H2 and its derivatives. Priority is given to green ammonia, as a leading candidate for the transportation of green hydrogen for many green hydrogen project developers.</w:t>
      </w:r>
    </w:p>
    <w:p w14:paraId="281C843D" w14:textId="225D04D8" w:rsidR="00836126" w:rsidRPr="00BA5461" w:rsidRDefault="00C863CF" w:rsidP="006B421C">
      <w:pPr>
        <w:pStyle w:val="Heading2"/>
        <w:spacing w:before="120" w:after="120"/>
        <w:rPr>
          <w:lang w:val="en-GB"/>
        </w:rPr>
      </w:pPr>
      <w:bookmarkStart w:id="4" w:name="_Toc94641808"/>
      <w:r w:rsidRPr="00BA5461">
        <w:rPr>
          <w:lang w:val="en-GB"/>
        </w:rPr>
        <w:t>1</w:t>
      </w:r>
      <w:r w:rsidR="00836126" w:rsidRPr="00BA5461">
        <w:rPr>
          <w:lang w:val="en-GB"/>
        </w:rPr>
        <w:t>.2</w:t>
      </w:r>
      <w:r w:rsidR="00836126" w:rsidRPr="00BA5461">
        <w:rPr>
          <w:lang w:val="en-GB"/>
        </w:rPr>
        <w:tab/>
      </w:r>
      <w:r w:rsidR="003207B8" w:rsidRPr="00BA5461">
        <w:rPr>
          <w:lang w:val="en-GB"/>
        </w:rPr>
        <w:t>Environmental, social and governance performance</w:t>
      </w:r>
      <w:bookmarkEnd w:id="4"/>
    </w:p>
    <w:p w14:paraId="667BB6BD" w14:textId="5828FB46" w:rsidR="00B004E0" w:rsidRPr="00BA5461" w:rsidRDefault="003207B8" w:rsidP="00B004E0">
      <w:pPr>
        <w:rPr>
          <w:lang w:val="en-GB"/>
        </w:rPr>
      </w:pPr>
      <w:r w:rsidRPr="00BA5461">
        <w:rPr>
          <w:lang w:val="en-GB"/>
        </w:rPr>
        <w:t xml:space="preserve">While the emissions associated with hydrogen production have received significant attention, </w:t>
      </w:r>
      <w:r w:rsidR="00B004E0" w:rsidRPr="00BA5461">
        <w:rPr>
          <w:lang w:val="en-GB"/>
        </w:rPr>
        <w:t>d</w:t>
      </w:r>
      <w:r w:rsidR="008B5026" w:rsidRPr="00BA5461">
        <w:rPr>
          <w:lang w:val="en-GB"/>
        </w:rPr>
        <w:t xml:space="preserve">emonstrating that green hydrogen has been produced sustainably needs to be addressed in green hydrogen certification. </w:t>
      </w:r>
      <w:r w:rsidR="00B004E0" w:rsidRPr="00BA5461">
        <w:rPr>
          <w:lang w:val="en-GB"/>
        </w:rPr>
        <w:t xml:space="preserve">The Standard tracks the overall social, environmental and governance </w:t>
      </w:r>
      <w:r w:rsidR="005F42DD" w:rsidRPr="00BA5461">
        <w:rPr>
          <w:lang w:val="en-GB"/>
        </w:rPr>
        <w:t>performance of green hydrogen production</w:t>
      </w:r>
      <w:r w:rsidR="00B004E0" w:rsidRPr="00BA5461">
        <w:rPr>
          <w:lang w:val="en-GB"/>
        </w:rPr>
        <w:t xml:space="preserve">. </w:t>
      </w:r>
    </w:p>
    <w:p w14:paraId="7745E041" w14:textId="7EB88BE7" w:rsidR="005145C6" w:rsidRPr="00BA5461" w:rsidRDefault="0094753E" w:rsidP="005145C6">
      <w:pPr>
        <w:rPr>
          <w:color w:val="FF0000"/>
          <w:lang w:val="en-GB"/>
        </w:rPr>
      </w:pPr>
      <w:r w:rsidRPr="00BA5461">
        <w:rPr>
          <w:color w:val="FF0000"/>
          <w:lang w:val="en-GB"/>
        </w:rPr>
        <w:t>GH2 focuses on the renewable energy technologies that are the leading candidates for scaling up green hydrogen production.</w:t>
      </w:r>
      <w:r w:rsidRPr="007D23B7">
        <w:rPr>
          <w:color w:val="FF0000"/>
          <w:lang w:val="en-GB"/>
        </w:rPr>
        <w:t xml:space="preserve"> </w:t>
      </w:r>
      <w:r w:rsidR="005145C6" w:rsidRPr="007D23B7">
        <w:rPr>
          <w:color w:val="FF0000"/>
          <w:lang w:val="en-GB"/>
        </w:rPr>
        <w:t xml:space="preserve">GH2 accreditation and certification requires the project operator to demonstrate that hydrogen is produced through the electrolysis of water with 100% or near 100% renewable energy. GH2 accreditation and certification requires </w:t>
      </w:r>
      <w:r w:rsidR="005145C6" w:rsidRPr="00BA5461">
        <w:rPr>
          <w:color w:val="FF0000"/>
          <w:lang w:val="en-GB"/>
        </w:rPr>
        <w:t xml:space="preserve">renewable energy sourced from hydropower, wind, solar (solar thermal and solar photovoltaic), geothermal energy, tide, </w:t>
      </w:r>
      <w:proofErr w:type="gramStart"/>
      <w:r w:rsidR="005145C6" w:rsidRPr="00BA5461">
        <w:rPr>
          <w:color w:val="FF0000"/>
          <w:lang w:val="en-GB"/>
        </w:rPr>
        <w:t>wave</w:t>
      </w:r>
      <w:proofErr w:type="gramEnd"/>
      <w:r w:rsidR="005145C6" w:rsidRPr="00BA5461">
        <w:rPr>
          <w:color w:val="FF0000"/>
          <w:lang w:val="en-GB"/>
        </w:rPr>
        <w:t xml:space="preserve"> and other ocean energy sources.</w:t>
      </w:r>
      <w:r w:rsidRPr="00BA5461">
        <w:rPr>
          <w:color w:val="FF0000"/>
          <w:lang w:val="en-GB"/>
        </w:rPr>
        <w:t xml:space="preserve"> </w:t>
      </w:r>
      <w:r w:rsidR="005145C6" w:rsidRPr="00BA5461">
        <w:rPr>
          <w:color w:val="FF0000"/>
          <w:lang w:val="en-GB"/>
        </w:rPr>
        <w:t xml:space="preserve">GH2 will consider </w:t>
      </w:r>
      <w:r w:rsidRPr="00BA5461">
        <w:rPr>
          <w:color w:val="FF0000"/>
          <w:lang w:val="en-GB"/>
        </w:rPr>
        <w:t xml:space="preserve">opportunities to engage with </w:t>
      </w:r>
      <w:r w:rsidR="005145C6" w:rsidRPr="00BA5461">
        <w:rPr>
          <w:color w:val="FF0000"/>
          <w:lang w:val="en-GB"/>
        </w:rPr>
        <w:t>project operators based on other renewable non-fossil sources on a case-by-case basis</w:t>
      </w:r>
      <w:r w:rsidRPr="00BA5461">
        <w:rPr>
          <w:color w:val="FF0000"/>
          <w:lang w:val="en-GB"/>
        </w:rPr>
        <w:t xml:space="preserve"> where these projects </w:t>
      </w:r>
      <w:r w:rsidR="005145C6" w:rsidRPr="00BA5461">
        <w:rPr>
          <w:color w:val="FF0000"/>
          <w:lang w:val="en-GB"/>
        </w:rPr>
        <w:t>meet the same emissions and sustainability standards.</w:t>
      </w:r>
    </w:p>
    <w:p w14:paraId="13FE7DC2" w14:textId="7F0583A0" w:rsidR="00391406" w:rsidRPr="00BA5461" w:rsidRDefault="00391406" w:rsidP="00391406">
      <w:pPr>
        <w:rPr>
          <w:color w:val="FF0000"/>
          <w:lang w:val="en-GB"/>
        </w:rPr>
      </w:pPr>
      <w:r w:rsidRPr="007D23B7">
        <w:rPr>
          <w:color w:val="FF0000"/>
          <w:lang w:val="en-GB"/>
        </w:rPr>
        <w:t xml:space="preserve">Accelerating the production and utilisation of green hydrogen requires and supports a large increase in the production and utilisation of renewable energy. </w:t>
      </w:r>
      <w:proofErr w:type="gramStart"/>
      <w:r w:rsidRPr="00BA5461">
        <w:rPr>
          <w:b/>
          <w:bCs/>
          <w:color w:val="FF0000"/>
          <w:lang w:val="en-GB"/>
        </w:rPr>
        <w:t>In order to</w:t>
      </w:r>
      <w:proofErr w:type="gramEnd"/>
      <w:r w:rsidRPr="00BA5461">
        <w:rPr>
          <w:b/>
          <w:bCs/>
          <w:color w:val="FF0000"/>
          <w:lang w:val="en-GB"/>
        </w:rPr>
        <w:t xml:space="preserve"> be accredited and certified, </w:t>
      </w:r>
      <w:r w:rsidR="00CA2A57" w:rsidRPr="00BA5461">
        <w:rPr>
          <w:b/>
          <w:bCs/>
          <w:color w:val="FF0000"/>
          <w:lang w:val="en-GB"/>
        </w:rPr>
        <w:t xml:space="preserve">the Standard </w:t>
      </w:r>
      <w:r w:rsidRPr="00BA5461">
        <w:rPr>
          <w:b/>
          <w:bCs/>
          <w:color w:val="FF0000"/>
          <w:lang w:val="en-GB"/>
        </w:rPr>
        <w:t xml:space="preserve">requires that green hydrogen project operators prepare </w:t>
      </w:r>
      <w:r w:rsidRPr="00BA5461">
        <w:rPr>
          <w:color w:val="FF0000"/>
          <w:lang w:val="en-GB"/>
        </w:rPr>
        <w:t xml:space="preserve">a publicly accessible evaluation of the project’s utilisation of electricity and the impact on the energy market. The project </w:t>
      </w:r>
      <w:r w:rsidR="00AE5713" w:rsidRPr="00BA5461">
        <w:rPr>
          <w:color w:val="FF0000"/>
          <w:lang w:val="en-GB"/>
        </w:rPr>
        <w:t>operator</w:t>
      </w:r>
      <w:r w:rsidRPr="00BA5461">
        <w:rPr>
          <w:color w:val="FF0000"/>
          <w:lang w:val="en-GB"/>
        </w:rPr>
        <w:t xml:space="preserve"> must demonstrate that it has identified </w:t>
      </w:r>
      <w:r w:rsidRPr="00933590">
        <w:rPr>
          <w:color w:val="FF0000"/>
          <w:lang w:val="en-GB"/>
        </w:rPr>
        <w:t xml:space="preserve">and implemented technically feasible and cost-effective measures </w:t>
      </w:r>
      <w:r w:rsidR="004E76B3" w:rsidRPr="00933590">
        <w:rPr>
          <w:color w:val="FF0000"/>
          <w:lang w:val="en-GB"/>
        </w:rPr>
        <w:t xml:space="preserve">that support </w:t>
      </w:r>
      <w:r w:rsidRPr="00933590">
        <w:rPr>
          <w:color w:val="FF0000"/>
          <w:lang w:val="en-GB"/>
        </w:rPr>
        <w:t>energy efficiency</w:t>
      </w:r>
      <w:r w:rsidR="00F12E02" w:rsidRPr="00933590">
        <w:rPr>
          <w:color w:val="FF0000"/>
          <w:lang w:val="en-GB"/>
        </w:rPr>
        <w:t xml:space="preserve"> or other decarbonisation options</w:t>
      </w:r>
      <w:r w:rsidR="004E76B3" w:rsidRPr="00933590">
        <w:rPr>
          <w:color w:val="FF0000"/>
          <w:lang w:val="en-GB"/>
        </w:rPr>
        <w:t>,</w:t>
      </w:r>
      <w:r w:rsidRPr="00933590">
        <w:rPr>
          <w:color w:val="FF0000"/>
          <w:lang w:val="en-GB"/>
        </w:rPr>
        <w:t xml:space="preserve"> addressing any </w:t>
      </w:r>
      <w:r w:rsidR="004E76B3" w:rsidRPr="00933590">
        <w:rPr>
          <w:color w:val="FF0000"/>
          <w:lang w:val="en-GB"/>
        </w:rPr>
        <w:t xml:space="preserve">impacts vis-à-vis access to </w:t>
      </w:r>
      <w:r w:rsidRPr="00933590">
        <w:rPr>
          <w:color w:val="FF0000"/>
          <w:lang w:val="en-GB"/>
        </w:rPr>
        <w:t>affordable</w:t>
      </w:r>
      <w:r w:rsidR="007165F4" w:rsidRPr="00933590">
        <w:rPr>
          <w:color w:val="FF0000"/>
          <w:lang w:val="en-GB"/>
        </w:rPr>
        <w:t xml:space="preserve"> and</w:t>
      </w:r>
      <w:r w:rsidRPr="00933590">
        <w:rPr>
          <w:color w:val="FF0000"/>
          <w:lang w:val="en-GB"/>
        </w:rPr>
        <w:t xml:space="preserve"> reliable energy.</w:t>
      </w:r>
      <w:r w:rsidR="00F12E02" w:rsidRPr="00933590">
        <w:rPr>
          <w:color w:val="FF0000"/>
          <w:lang w:val="en-GB"/>
        </w:rPr>
        <w:t xml:space="preserve"> </w:t>
      </w:r>
      <w:r w:rsidR="00D231DF" w:rsidRPr="00933590">
        <w:rPr>
          <w:color w:val="FF0000"/>
          <w:lang w:val="en-GB"/>
        </w:rPr>
        <w:t>The expectation is that g</w:t>
      </w:r>
      <w:r w:rsidR="00F12E02" w:rsidRPr="00933590">
        <w:rPr>
          <w:color w:val="FF0000"/>
          <w:lang w:val="en-GB"/>
        </w:rPr>
        <w:t xml:space="preserve">reen </w:t>
      </w:r>
      <w:r w:rsidR="00F12E02" w:rsidRPr="007D23B7">
        <w:rPr>
          <w:color w:val="FF0000"/>
          <w:lang w:val="en-GB"/>
        </w:rPr>
        <w:t>hydrogen projects contribute to the build-out of new renewable energy capacity and avoid leading to increased use of fossil-generated electricity elsewhere in the energy system.</w:t>
      </w:r>
    </w:p>
    <w:p w14:paraId="5DE2D1FA" w14:textId="2B9068F1" w:rsidR="00B004E0" w:rsidRPr="00BA5461" w:rsidRDefault="00691F09" w:rsidP="00B004E0">
      <w:pPr>
        <w:rPr>
          <w:lang w:val="en-GB"/>
        </w:rPr>
      </w:pPr>
      <w:r w:rsidRPr="00BA5461">
        <w:rPr>
          <w:lang w:val="en-GB"/>
        </w:rPr>
        <w:lastRenderedPageBreak/>
        <w:t>The wider social and environment</w:t>
      </w:r>
      <w:r w:rsidR="00EF253F" w:rsidRPr="00BA5461">
        <w:rPr>
          <w:lang w:val="en-GB"/>
        </w:rPr>
        <w:t xml:space="preserve">al impacts associated with additional renewable capacity need to be considered. Green hydrogen production facilities also need to be developed and operated responsibly and sustainably. </w:t>
      </w:r>
      <w:r w:rsidR="00B004E0" w:rsidRPr="00BA5461">
        <w:rPr>
          <w:lang w:val="en-GB"/>
        </w:rPr>
        <w:t xml:space="preserve">Key questions include: </w:t>
      </w:r>
      <w:r w:rsidR="00B004E0" w:rsidRPr="00BA5461">
        <w:rPr>
          <w:i/>
          <w:iCs/>
          <w:lang w:val="en-GB"/>
        </w:rPr>
        <w:t xml:space="preserve">Are the social and environmental impacts of new projects fully considered? Can free, </w:t>
      </w:r>
      <w:proofErr w:type="gramStart"/>
      <w:r w:rsidR="00B004E0" w:rsidRPr="00BA5461">
        <w:rPr>
          <w:i/>
          <w:iCs/>
          <w:lang w:val="en-GB"/>
        </w:rPr>
        <w:t>prior</w:t>
      </w:r>
      <w:proofErr w:type="gramEnd"/>
      <w:r w:rsidR="00B004E0" w:rsidRPr="00BA5461">
        <w:rPr>
          <w:i/>
          <w:iCs/>
          <w:lang w:val="en-GB"/>
        </w:rPr>
        <w:t xml:space="preserve"> and informed consent be verified? Are human rights respected and promoted where the energy is produced? </w:t>
      </w:r>
    </w:p>
    <w:p w14:paraId="3A8C261F" w14:textId="45A80417" w:rsidR="00B004E0" w:rsidRPr="00BA5461" w:rsidRDefault="00EE542A" w:rsidP="00B004E0">
      <w:pPr>
        <w:rPr>
          <w:lang w:val="en-GB"/>
        </w:rPr>
      </w:pPr>
      <w:r w:rsidRPr="00BA5461">
        <w:rPr>
          <w:lang w:val="en-GB"/>
        </w:rPr>
        <w:t xml:space="preserve">The Green Hydrogen Standard </w:t>
      </w:r>
      <w:r w:rsidR="00B004E0" w:rsidRPr="00BA5461">
        <w:rPr>
          <w:lang w:val="en-GB"/>
        </w:rPr>
        <w:t>incorporate</w:t>
      </w:r>
      <w:r w:rsidRPr="00BA5461">
        <w:rPr>
          <w:lang w:val="en-GB"/>
        </w:rPr>
        <w:t>s</w:t>
      </w:r>
      <w:r w:rsidR="00B004E0" w:rsidRPr="00BA5461">
        <w:rPr>
          <w:lang w:val="en-GB"/>
        </w:rPr>
        <w:t xml:space="preserve"> best practice sustainability assessments into investment analysis and project decision-making processes</w:t>
      </w:r>
      <w:r w:rsidR="00CC3640" w:rsidRPr="00BA5461">
        <w:rPr>
          <w:lang w:val="en-GB"/>
        </w:rPr>
        <w:t xml:space="preserve"> through an inclusive process where stakeholder views are respected and addressed</w:t>
      </w:r>
      <w:r w:rsidR="00B004E0" w:rsidRPr="00BA5461">
        <w:rPr>
          <w:lang w:val="en-GB"/>
        </w:rPr>
        <w:t xml:space="preserve">. The GH2 Standard addresses the impact on affected communities, labour and working conditions, and the prohibition of all forms of slavery, child and forced labour. The use and management of water resources requires close attention, together with adherence to best practice health and safety standards in green hydrogen production, </w:t>
      </w:r>
      <w:proofErr w:type="gramStart"/>
      <w:r w:rsidR="00B004E0" w:rsidRPr="00BA5461">
        <w:rPr>
          <w:lang w:val="en-GB"/>
        </w:rPr>
        <w:t>storage</w:t>
      </w:r>
      <w:proofErr w:type="gramEnd"/>
      <w:r w:rsidR="00B004E0" w:rsidRPr="00BA5461">
        <w:rPr>
          <w:lang w:val="en-GB"/>
        </w:rPr>
        <w:t xml:space="preserve"> and transportation.</w:t>
      </w:r>
    </w:p>
    <w:p w14:paraId="271C6F89" w14:textId="4E68A2B5" w:rsidR="00836126" w:rsidRPr="00BA5461" w:rsidRDefault="00C863CF" w:rsidP="00B076EC">
      <w:pPr>
        <w:pStyle w:val="Heading2"/>
        <w:spacing w:before="120" w:after="120"/>
        <w:rPr>
          <w:lang w:val="en-GB"/>
        </w:rPr>
      </w:pPr>
      <w:bookmarkStart w:id="5" w:name="_Toc94641809"/>
      <w:r w:rsidRPr="00BA5461">
        <w:rPr>
          <w:lang w:val="en-GB"/>
        </w:rPr>
        <w:t>1</w:t>
      </w:r>
      <w:r w:rsidR="00836126" w:rsidRPr="00BA5461">
        <w:rPr>
          <w:lang w:val="en-GB"/>
        </w:rPr>
        <w:t>.3</w:t>
      </w:r>
      <w:r w:rsidR="00836126" w:rsidRPr="00BA5461">
        <w:rPr>
          <w:lang w:val="en-GB"/>
        </w:rPr>
        <w:tab/>
      </w:r>
      <w:r w:rsidR="004840E8" w:rsidRPr="00BA5461">
        <w:rPr>
          <w:lang w:val="en-GB"/>
        </w:rPr>
        <w:t>The development impact – SDG performance</w:t>
      </w:r>
      <w:bookmarkEnd w:id="5"/>
    </w:p>
    <w:p w14:paraId="62193F64" w14:textId="1EFB1E74" w:rsidR="00E87CE3" w:rsidRPr="00BA5461" w:rsidRDefault="00E87CE3" w:rsidP="00E87CE3">
      <w:pPr>
        <w:rPr>
          <w:lang w:val="en-GB"/>
        </w:rPr>
      </w:pPr>
      <w:r w:rsidRPr="00BA5461">
        <w:rPr>
          <w:lang w:val="en-GB"/>
        </w:rPr>
        <w:t>The Sustainable Development Goals (SDGs) call for the betterment of global populations, while preserving the environment and guarding against a climate disaster.</w:t>
      </w:r>
      <w:r w:rsidR="00F821F9" w:rsidRPr="00BA5461">
        <w:rPr>
          <w:rStyle w:val="FootnoteReference"/>
          <w:lang w:val="en-GB"/>
        </w:rPr>
        <w:footnoteReference w:id="3"/>
      </w:r>
      <w:r w:rsidRPr="00BA5461">
        <w:rPr>
          <w:lang w:val="en-GB"/>
        </w:rPr>
        <w:t xml:space="preserve"> Green hydrogen is a unique technology and fuel that allows for scalable investment and dramatically decarbonised industry. As a system for energy production, it also promises to deliver greater energy independence </w:t>
      </w:r>
      <w:r w:rsidR="00B70540" w:rsidRPr="00BA5461">
        <w:rPr>
          <w:lang w:val="en-GB"/>
        </w:rPr>
        <w:t xml:space="preserve">for </w:t>
      </w:r>
      <w:r w:rsidRPr="00BA5461">
        <w:rPr>
          <w:lang w:val="en-GB"/>
        </w:rPr>
        <w:t>countries without natural endowments of fossil fuels</w:t>
      </w:r>
      <w:r w:rsidR="00F01FE3" w:rsidRPr="00BA5461">
        <w:rPr>
          <w:lang w:val="en-GB"/>
        </w:rPr>
        <w:t xml:space="preserve"> as well as offering an alternative to fossil fuels</w:t>
      </w:r>
      <w:r w:rsidRPr="00BA5461">
        <w:rPr>
          <w:lang w:val="en-GB"/>
        </w:rPr>
        <w:t xml:space="preserve">. In order to achieve the </w:t>
      </w:r>
      <w:proofErr w:type="gramStart"/>
      <w:r w:rsidR="00B70540" w:rsidRPr="00BA5461">
        <w:rPr>
          <w:lang w:val="en-GB"/>
        </w:rPr>
        <w:t xml:space="preserve">SDGs </w:t>
      </w:r>
      <w:r w:rsidRPr="00BA5461">
        <w:rPr>
          <w:lang w:val="en-GB"/>
        </w:rPr>
        <w:t xml:space="preserve"> and</w:t>
      </w:r>
      <w:proofErr w:type="gramEnd"/>
      <w:r w:rsidRPr="00BA5461">
        <w:rPr>
          <w:lang w:val="en-GB"/>
        </w:rPr>
        <w:t xml:space="preserve"> Paris Agreement targets, the energy transition must become a transformational global effort. An energy revolution is underway, but 759 million people still live without electricity and the development opportunities it provides.</w:t>
      </w:r>
      <w:r w:rsidR="009E01B8" w:rsidRPr="00BA5461">
        <w:rPr>
          <w:rStyle w:val="FootnoteReference"/>
          <w:lang w:val="en-GB"/>
        </w:rPr>
        <w:footnoteReference w:id="4"/>
      </w:r>
    </w:p>
    <w:p w14:paraId="56C61F8B" w14:textId="7FB4A991" w:rsidR="00B076EC" w:rsidRPr="00933590" w:rsidRDefault="00E87CE3" w:rsidP="009D5DE3">
      <w:pPr>
        <w:rPr>
          <w:color w:val="FF0000"/>
          <w:lang w:val="en-GB"/>
        </w:rPr>
      </w:pPr>
      <w:r w:rsidRPr="00933590">
        <w:rPr>
          <w:color w:val="FF0000"/>
          <w:lang w:val="en-GB"/>
        </w:rPr>
        <w:t xml:space="preserve">Green hydrogen has enormous potential to support the achievement of the </w:t>
      </w:r>
      <w:r w:rsidR="00FB5093" w:rsidRPr="00933590">
        <w:rPr>
          <w:color w:val="FF0000"/>
          <w:lang w:val="en-GB"/>
        </w:rPr>
        <w:t xml:space="preserve">SDGs. </w:t>
      </w:r>
      <w:r w:rsidRPr="00933590">
        <w:rPr>
          <w:color w:val="FF0000"/>
          <w:lang w:val="en-GB"/>
        </w:rPr>
        <w:t>The most obvious contributions relate to goals 7, 8 and 13</w:t>
      </w:r>
      <w:r w:rsidR="00AE0DE5" w:rsidRPr="00933590">
        <w:rPr>
          <w:color w:val="FF0000"/>
          <w:lang w:val="en-GB"/>
        </w:rPr>
        <w:t xml:space="preserve"> (see Policy Note 2)</w:t>
      </w:r>
      <w:r w:rsidRPr="00933590">
        <w:rPr>
          <w:color w:val="FF0000"/>
          <w:lang w:val="en-GB"/>
        </w:rPr>
        <w:t xml:space="preserve">. In addition, there are direct and indirect contributions that contribute to almost </w:t>
      </w:r>
      <w:proofErr w:type="gramStart"/>
      <w:r w:rsidRPr="00933590">
        <w:rPr>
          <w:color w:val="FF0000"/>
          <w:lang w:val="en-GB"/>
        </w:rPr>
        <w:t>all of</w:t>
      </w:r>
      <w:proofErr w:type="gramEnd"/>
      <w:r w:rsidRPr="00933590">
        <w:rPr>
          <w:color w:val="FF0000"/>
          <w:lang w:val="en-GB"/>
        </w:rPr>
        <w:t xml:space="preserve"> the SDGs. </w:t>
      </w:r>
      <w:r w:rsidR="006C7E47" w:rsidRPr="00933590">
        <w:rPr>
          <w:color w:val="FF0000"/>
          <w:lang w:val="en-GB"/>
        </w:rPr>
        <w:t xml:space="preserve">The Standard </w:t>
      </w:r>
      <w:r w:rsidR="004840E8" w:rsidRPr="00933590">
        <w:rPr>
          <w:color w:val="FF0000"/>
          <w:lang w:val="en-GB"/>
        </w:rPr>
        <w:t xml:space="preserve">requires </w:t>
      </w:r>
      <w:r w:rsidR="007A2F28" w:rsidRPr="00933590">
        <w:rPr>
          <w:color w:val="FF0000"/>
          <w:lang w:val="en-GB"/>
        </w:rPr>
        <w:t xml:space="preserve">that green hydrogen project operators </w:t>
      </w:r>
      <w:r w:rsidR="00FB5093" w:rsidRPr="00933590">
        <w:rPr>
          <w:color w:val="FF0000"/>
          <w:lang w:val="en-GB"/>
        </w:rPr>
        <w:t>assess the project</w:t>
      </w:r>
      <w:r w:rsidR="00B70540" w:rsidRPr="00933590">
        <w:rPr>
          <w:color w:val="FF0000"/>
          <w:lang w:val="en-GB"/>
        </w:rPr>
        <w:t>’</w:t>
      </w:r>
      <w:r w:rsidR="00FB5093" w:rsidRPr="00933590">
        <w:rPr>
          <w:color w:val="FF0000"/>
          <w:lang w:val="en-GB"/>
        </w:rPr>
        <w:t xml:space="preserve">s </w:t>
      </w:r>
      <w:r w:rsidR="00B70540" w:rsidRPr="00933590">
        <w:rPr>
          <w:color w:val="FF0000"/>
          <w:lang w:val="en-GB"/>
        </w:rPr>
        <w:t xml:space="preserve">development </w:t>
      </w:r>
      <w:r w:rsidR="004840E8" w:rsidRPr="00933590">
        <w:rPr>
          <w:color w:val="FF0000"/>
          <w:lang w:val="en-GB"/>
        </w:rPr>
        <w:t xml:space="preserve">impact </w:t>
      </w:r>
      <w:r w:rsidR="00B70540" w:rsidRPr="00933590">
        <w:rPr>
          <w:color w:val="FF0000"/>
          <w:lang w:val="en-GB"/>
        </w:rPr>
        <w:t xml:space="preserve">and contribution towards </w:t>
      </w:r>
      <w:r w:rsidR="00FB5093" w:rsidRPr="00933590">
        <w:rPr>
          <w:color w:val="FF0000"/>
          <w:lang w:val="en-GB"/>
        </w:rPr>
        <w:t xml:space="preserve">achievement of the SDGs. </w:t>
      </w:r>
      <w:r w:rsidR="009A4E45" w:rsidRPr="00933590">
        <w:rPr>
          <w:color w:val="FF0000"/>
          <w:lang w:val="en-GB"/>
        </w:rPr>
        <w:t xml:space="preserve">This work should be undertaken at an early stage, with a view to maximising the </w:t>
      </w:r>
      <w:r w:rsidR="009D5DE3" w:rsidRPr="00933590">
        <w:rPr>
          <w:color w:val="FF0000"/>
          <w:lang w:val="en-GB"/>
        </w:rPr>
        <w:t xml:space="preserve">development </w:t>
      </w:r>
      <w:r w:rsidR="009A4E45" w:rsidRPr="00933590">
        <w:rPr>
          <w:color w:val="FF0000"/>
          <w:lang w:val="en-GB"/>
        </w:rPr>
        <w:t xml:space="preserve">potential to </w:t>
      </w:r>
      <w:r w:rsidR="004840E8" w:rsidRPr="00933590">
        <w:rPr>
          <w:color w:val="FF0000"/>
          <w:lang w:val="en-GB"/>
        </w:rPr>
        <w:t xml:space="preserve">support energy sector development, increase energy security and </w:t>
      </w:r>
      <w:r w:rsidR="002965CD" w:rsidRPr="00933590">
        <w:rPr>
          <w:color w:val="FF0000"/>
          <w:lang w:val="en-GB"/>
        </w:rPr>
        <w:t xml:space="preserve">development </w:t>
      </w:r>
      <w:r w:rsidR="004840E8" w:rsidRPr="00933590">
        <w:rPr>
          <w:color w:val="FF0000"/>
          <w:lang w:val="en-GB"/>
        </w:rPr>
        <w:t>opportunities.</w:t>
      </w:r>
    </w:p>
    <w:p w14:paraId="352AE3ED" w14:textId="0EC82FFF" w:rsidR="007D4C8D" w:rsidRPr="00BA5461" w:rsidRDefault="003402CA" w:rsidP="007D4C8D">
      <w:pPr>
        <w:pStyle w:val="Heading1"/>
        <w:numPr>
          <w:ilvl w:val="0"/>
          <w:numId w:val="3"/>
        </w:numPr>
        <w:ind w:hanging="720"/>
        <w:rPr>
          <w:lang w:val="en-GB"/>
        </w:rPr>
      </w:pPr>
      <w:bookmarkStart w:id="6" w:name="_Toc94641810"/>
      <w:r w:rsidRPr="00BA5461">
        <w:rPr>
          <w:lang w:val="en-GB"/>
        </w:rPr>
        <w:t xml:space="preserve">The </w:t>
      </w:r>
      <w:r w:rsidR="00395AAA" w:rsidRPr="00BA5461">
        <w:rPr>
          <w:lang w:val="en-GB"/>
        </w:rPr>
        <w:t xml:space="preserve">GH2 </w:t>
      </w:r>
      <w:r w:rsidRPr="00BA5461">
        <w:rPr>
          <w:lang w:val="en-GB"/>
        </w:rPr>
        <w:t>Green Hydrogen Standard</w:t>
      </w:r>
      <w:bookmarkEnd w:id="6"/>
    </w:p>
    <w:p w14:paraId="3BA8D098" w14:textId="26910260" w:rsidR="00E77CEB" w:rsidRPr="00BA5461" w:rsidRDefault="00043692" w:rsidP="00992344">
      <w:pPr>
        <w:spacing w:before="240" w:after="240"/>
        <w:rPr>
          <w:lang w:val="en-GB"/>
        </w:rPr>
      </w:pPr>
      <w:r w:rsidRPr="00BA5461">
        <w:rPr>
          <w:lang w:val="en-GB"/>
        </w:rPr>
        <w:t xml:space="preserve">The Green Hydrogen Standard is based on a project-level certification and accreditation. </w:t>
      </w:r>
      <w:r w:rsidR="00A2412A" w:rsidRPr="00BA5461">
        <w:rPr>
          <w:lang w:val="en-GB"/>
        </w:rPr>
        <w:t xml:space="preserve">It is </w:t>
      </w:r>
      <w:r w:rsidR="00E77CEB" w:rsidRPr="00BA5461">
        <w:rPr>
          <w:lang w:val="en-GB"/>
        </w:rPr>
        <w:t xml:space="preserve">comprised of </w:t>
      </w:r>
      <w:r w:rsidR="001870A2" w:rsidRPr="00BA5461">
        <w:rPr>
          <w:lang w:val="en-GB"/>
        </w:rPr>
        <w:t>six</w:t>
      </w:r>
      <w:r w:rsidR="00647B83" w:rsidRPr="00BA5461">
        <w:rPr>
          <w:lang w:val="en-GB"/>
        </w:rPr>
        <w:t xml:space="preserve"> criteria and </w:t>
      </w:r>
      <w:r w:rsidR="00763AB8" w:rsidRPr="00BA5461">
        <w:rPr>
          <w:lang w:val="en-GB"/>
        </w:rPr>
        <w:t>seven</w:t>
      </w:r>
      <w:r w:rsidR="00647B83" w:rsidRPr="00BA5461">
        <w:rPr>
          <w:lang w:val="en-GB"/>
        </w:rPr>
        <w:t xml:space="preserve"> requirements.</w:t>
      </w:r>
    </w:p>
    <w:p w14:paraId="2A5068BA" w14:textId="7BD4ABE3" w:rsidR="00043692" w:rsidRPr="00BA5461" w:rsidRDefault="00043692" w:rsidP="00043692">
      <w:pPr>
        <w:pStyle w:val="Heading2"/>
        <w:spacing w:before="120" w:after="120"/>
        <w:rPr>
          <w:lang w:val="en-GB"/>
        </w:rPr>
      </w:pPr>
      <w:r w:rsidRPr="00BA5461">
        <w:rPr>
          <w:lang w:val="en-GB"/>
        </w:rPr>
        <w:t>2.1</w:t>
      </w:r>
      <w:r w:rsidRPr="00BA5461">
        <w:rPr>
          <w:lang w:val="en-GB"/>
        </w:rPr>
        <w:tab/>
        <w:t>GH2 Criteria</w:t>
      </w:r>
    </w:p>
    <w:p w14:paraId="3F01EF40" w14:textId="50DA0F9E" w:rsidR="00DC58F7" w:rsidRPr="00BA5461" w:rsidRDefault="00F02645" w:rsidP="0074549A">
      <w:pPr>
        <w:spacing w:before="240" w:after="240"/>
        <w:rPr>
          <w:color w:val="FF0000"/>
          <w:lang w:val="en-GB"/>
        </w:rPr>
      </w:pPr>
      <w:r w:rsidRPr="00BA5461">
        <w:rPr>
          <w:color w:val="FF0000"/>
          <w:lang w:val="en-GB"/>
        </w:rPr>
        <w:t xml:space="preserve">The Green Hydrogen Standard provides a clear global minimum standard, while also retaining the flexibility to accommodate local challenges and opportunities. </w:t>
      </w:r>
      <w:r w:rsidR="001870A2" w:rsidRPr="00BA5461">
        <w:rPr>
          <w:color w:val="FF0000"/>
          <w:lang w:val="en-GB"/>
        </w:rPr>
        <w:t xml:space="preserve">The </w:t>
      </w:r>
      <w:r w:rsidR="00A2412A" w:rsidRPr="00BA5461">
        <w:rPr>
          <w:color w:val="FF0000"/>
          <w:lang w:val="en-GB"/>
        </w:rPr>
        <w:t xml:space="preserve">following </w:t>
      </w:r>
      <w:r w:rsidR="001870A2" w:rsidRPr="00BA5461">
        <w:rPr>
          <w:color w:val="FF0000"/>
          <w:lang w:val="en-GB"/>
        </w:rPr>
        <w:t>six criteria are general principles that should be applied throughout the accreditation and certification process</w:t>
      </w:r>
      <w:r w:rsidR="00A2412A" w:rsidRPr="00BA5461">
        <w:rPr>
          <w:color w:val="FF0000"/>
          <w:lang w:val="en-GB"/>
        </w:rPr>
        <w:t>:</w:t>
      </w:r>
      <w:r w:rsidR="0074549A" w:rsidRPr="00BA5461">
        <w:rPr>
          <w:color w:val="FF0000"/>
          <w:lang w:val="en-GB"/>
        </w:rPr>
        <w:t xml:space="preserve"> </w:t>
      </w:r>
    </w:p>
    <w:p w14:paraId="0D07DD4C" w14:textId="347441B9" w:rsidR="00380D84" w:rsidRPr="00BA5461" w:rsidRDefault="00A2412A" w:rsidP="00DB357B">
      <w:pPr>
        <w:pStyle w:val="ListParagraph"/>
        <w:numPr>
          <w:ilvl w:val="0"/>
          <w:numId w:val="8"/>
        </w:numPr>
        <w:spacing w:before="240" w:after="240"/>
        <w:ind w:left="714" w:hanging="357"/>
        <w:contextualSpacing w:val="0"/>
        <w:rPr>
          <w:color w:val="FF0000"/>
          <w:lang w:val="en-GB"/>
        </w:rPr>
      </w:pPr>
      <w:r w:rsidRPr="00BA5461">
        <w:rPr>
          <w:b/>
          <w:bCs/>
          <w:color w:val="FF0000"/>
          <w:lang w:val="en-GB"/>
        </w:rPr>
        <w:lastRenderedPageBreak/>
        <w:t>Sovereignty and s</w:t>
      </w:r>
      <w:r w:rsidR="0074549A" w:rsidRPr="00BA5461">
        <w:rPr>
          <w:b/>
          <w:bCs/>
          <w:color w:val="FF0000"/>
          <w:lang w:val="en-GB"/>
        </w:rPr>
        <w:t>ubsidiarity</w:t>
      </w:r>
      <w:r w:rsidR="00DC58F7" w:rsidRPr="00BA5461">
        <w:rPr>
          <w:color w:val="FF0000"/>
          <w:lang w:val="en-GB"/>
        </w:rPr>
        <w:t xml:space="preserve">. </w:t>
      </w:r>
      <w:r w:rsidR="00867EA7" w:rsidRPr="00BA5461">
        <w:rPr>
          <w:color w:val="FF0000"/>
          <w:lang w:val="en-GB"/>
        </w:rPr>
        <w:t xml:space="preserve">GH2 acknowledges that the development of natural resources and energy markets is in the domain of sovereign governments to be exercised in the interest of their citizens and national development. </w:t>
      </w:r>
      <w:r w:rsidR="0074549A" w:rsidRPr="00BA5461">
        <w:rPr>
          <w:color w:val="FF0000"/>
          <w:lang w:val="en-GB"/>
        </w:rPr>
        <w:t>To avoid duplication, demonstrating adherence to credible and comprehensive national requirements</w:t>
      </w:r>
      <w:r w:rsidR="005D3E4F" w:rsidRPr="00BA5461">
        <w:rPr>
          <w:rStyle w:val="FootnoteReference"/>
          <w:color w:val="FF0000"/>
          <w:lang w:val="en-GB"/>
        </w:rPr>
        <w:footnoteReference w:id="5"/>
      </w:r>
      <w:r w:rsidR="0074549A" w:rsidRPr="00BA5461">
        <w:rPr>
          <w:color w:val="FF0000"/>
          <w:lang w:val="en-GB"/>
        </w:rPr>
        <w:t xml:space="preserve"> </w:t>
      </w:r>
      <w:r w:rsidR="00A87B75" w:rsidRPr="00BA5461">
        <w:rPr>
          <w:color w:val="FF0000"/>
          <w:lang w:val="en-GB"/>
        </w:rPr>
        <w:t xml:space="preserve">shall be deemed </w:t>
      </w:r>
      <w:r w:rsidR="0074549A" w:rsidRPr="00BA5461">
        <w:rPr>
          <w:color w:val="FF0000"/>
          <w:lang w:val="en-GB"/>
        </w:rPr>
        <w:t>sufficient to meet GH2</w:t>
      </w:r>
      <w:r w:rsidR="00A87B75" w:rsidRPr="00BA5461">
        <w:rPr>
          <w:color w:val="FF0000"/>
          <w:lang w:val="en-GB"/>
        </w:rPr>
        <w:t>’s</w:t>
      </w:r>
      <w:r w:rsidR="0074549A" w:rsidRPr="00BA5461">
        <w:rPr>
          <w:color w:val="FF0000"/>
          <w:lang w:val="en-GB"/>
        </w:rPr>
        <w:t xml:space="preserve"> accreditation and certification requirements.</w:t>
      </w:r>
      <w:r w:rsidR="00A87B75" w:rsidRPr="00BA5461">
        <w:rPr>
          <w:color w:val="FF0000"/>
          <w:lang w:val="en-GB"/>
        </w:rPr>
        <w:t xml:space="preserve"> </w:t>
      </w:r>
      <w:r w:rsidR="00CD6EC8" w:rsidRPr="00BA5461">
        <w:rPr>
          <w:color w:val="FF0000"/>
          <w:lang w:val="en-GB"/>
        </w:rPr>
        <w:t>Science-based knowledge should be applied, referring to peer-reviewed literature and internationally accepted standards.</w:t>
      </w:r>
    </w:p>
    <w:p w14:paraId="3A685CAB" w14:textId="64643429" w:rsidR="00CA1225" w:rsidRPr="00BA5461" w:rsidRDefault="0074549A" w:rsidP="00DB357B">
      <w:pPr>
        <w:pStyle w:val="ListParagraph"/>
        <w:numPr>
          <w:ilvl w:val="0"/>
          <w:numId w:val="8"/>
        </w:numPr>
        <w:spacing w:before="240" w:after="240"/>
        <w:ind w:left="714" w:hanging="357"/>
        <w:contextualSpacing w:val="0"/>
        <w:rPr>
          <w:color w:val="FF0000"/>
          <w:lang w:val="en-GB"/>
        </w:rPr>
      </w:pPr>
      <w:r w:rsidRPr="00BA5461">
        <w:rPr>
          <w:b/>
          <w:bCs/>
          <w:color w:val="FF0000"/>
          <w:lang w:val="en-GB"/>
        </w:rPr>
        <w:t>Proportionality (materiality)</w:t>
      </w:r>
      <w:r w:rsidR="00380D84" w:rsidRPr="00BA5461">
        <w:rPr>
          <w:color w:val="FF0000"/>
          <w:lang w:val="en-GB"/>
        </w:rPr>
        <w:t xml:space="preserve">. </w:t>
      </w:r>
      <w:r w:rsidRPr="00BA5461">
        <w:rPr>
          <w:color w:val="FF0000"/>
          <w:lang w:val="en-GB"/>
        </w:rPr>
        <w:t>GH2 sh</w:t>
      </w:r>
      <w:r w:rsidR="00380D84" w:rsidRPr="00BA5461">
        <w:rPr>
          <w:color w:val="FF0000"/>
          <w:lang w:val="en-GB"/>
        </w:rPr>
        <w:t xml:space="preserve">all </w:t>
      </w:r>
      <w:r w:rsidRPr="00BA5461">
        <w:rPr>
          <w:color w:val="FF0000"/>
          <w:lang w:val="en-GB"/>
        </w:rPr>
        <w:t>ensure proportionality in the accreditation and certification framework. Th</w:t>
      </w:r>
      <w:r w:rsidR="00CA1225" w:rsidRPr="00BA5461">
        <w:rPr>
          <w:color w:val="FF0000"/>
          <w:lang w:val="en-GB"/>
        </w:rPr>
        <w:t xml:space="preserve">e process </w:t>
      </w:r>
      <w:r w:rsidR="00DB357B" w:rsidRPr="00BA5461">
        <w:rPr>
          <w:color w:val="FF0000"/>
          <w:lang w:val="en-GB"/>
        </w:rPr>
        <w:t>should</w:t>
      </w:r>
      <w:r w:rsidR="00CA1225" w:rsidRPr="00BA5461">
        <w:rPr>
          <w:color w:val="FF0000"/>
          <w:lang w:val="en-GB"/>
        </w:rPr>
        <w:t xml:space="preserve"> emphasize the </w:t>
      </w:r>
      <w:r w:rsidRPr="00BA5461">
        <w:rPr>
          <w:color w:val="FF0000"/>
          <w:lang w:val="en-GB"/>
        </w:rPr>
        <w:t xml:space="preserve">most significant </w:t>
      </w:r>
      <w:r w:rsidR="00380D84" w:rsidRPr="00BA5461">
        <w:rPr>
          <w:color w:val="FF0000"/>
          <w:lang w:val="en-GB"/>
        </w:rPr>
        <w:t>issues and impacts</w:t>
      </w:r>
      <w:r w:rsidR="00CA1225" w:rsidRPr="00BA5461">
        <w:rPr>
          <w:color w:val="FF0000"/>
          <w:lang w:val="en-GB"/>
        </w:rPr>
        <w:t xml:space="preserve"> and allow for minor gaps / deviations in meeting the requirements where the broader objective of the requirement is met.</w:t>
      </w:r>
    </w:p>
    <w:p w14:paraId="7D0A256C" w14:textId="69433658" w:rsidR="0015277B" w:rsidRPr="00BA5461" w:rsidRDefault="003067B2" w:rsidP="0015277B">
      <w:pPr>
        <w:pStyle w:val="ListParagraph"/>
        <w:numPr>
          <w:ilvl w:val="0"/>
          <w:numId w:val="8"/>
        </w:numPr>
        <w:spacing w:before="240" w:after="240"/>
        <w:ind w:left="714" w:hanging="357"/>
        <w:contextualSpacing w:val="0"/>
        <w:rPr>
          <w:color w:val="FF0000"/>
          <w:lang w:val="en-GB"/>
        </w:rPr>
      </w:pPr>
      <w:r w:rsidRPr="00BA5461">
        <w:rPr>
          <w:b/>
          <w:bCs/>
          <w:color w:val="FF0000"/>
          <w:lang w:val="en-GB"/>
        </w:rPr>
        <w:t>Harmonization</w:t>
      </w:r>
      <w:r w:rsidRPr="00BA5461">
        <w:rPr>
          <w:color w:val="FF0000"/>
          <w:lang w:val="en-GB"/>
        </w:rPr>
        <w:t xml:space="preserve">. To improve quality and </w:t>
      </w:r>
      <w:r w:rsidR="00867EA7" w:rsidRPr="00BA5461">
        <w:rPr>
          <w:color w:val="FF0000"/>
          <w:lang w:val="en-GB"/>
        </w:rPr>
        <w:t>efficiency</w:t>
      </w:r>
      <w:r w:rsidRPr="00BA5461">
        <w:rPr>
          <w:color w:val="FF0000"/>
          <w:lang w:val="en-GB"/>
        </w:rPr>
        <w:t>, GH2</w:t>
      </w:r>
      <w:r w:rsidR="00DB357B" w:rsidRPr="00BA5461">
        <w:rPr>
          <w:color w:val="FF0000"/>
          <w:lang w:val="en-GB"/>
        </w:rPr>
        <w:t xml:space="preserve"> encourage</w:t>
      </w:r>
      <w:r w:rsidR="00107E43" w:rsidRPr="00BA5461">
        <w:rPr>
          <w:color w:val="FF0000"/>
          <w:lang w:val="en-GB"/>
        </w:rPr>
        <w:t>s</w:t>
      </w:r>
      <w:r w:rsidR="00DB357B" w:rsidRPr="00BA5461">
        <w:rPr>
          <w:color w:val="FF0000"/>
          <w:lang w:val="en-GB"/>
        </w:rPr>
        <w:t xml:space="preserve"> alignment with </w:t>
      </w:r>
      <w:r w:rsidRPr="00BA5461">
        <w:rPr>
          <w:color w:val="FF0000"/>
          <w:lang w:val="en-GB"/>
        </w:rPr>
        <w:t>international best practice</w:t>
      </w:r>
      <w:r w:rsidR="00772A7E" w:rsidRPr="00BA5461">
        <w:rPr>
          <w:color w:val="FF0000"/>
          <w:lang w:val="en-GB"/>
        </w:rPr>
        <w:t xml:space="preserve"> and </w:t>
      </w:r>
      <w:r w:rsidR="00107E43" w:rsidRPr="00BA5461">
        <w:rPr>
          <w:color w:val="FF0000"/>
          <w:lang w:val="en-GB"/>
        </w:rPr>
        <w:t xml:space="preserve">will </w:t>
      </w:r>
      <w:r w:rsidR="00772A7E" w:rsidRPr="00BA5461">
        <w:rPr>
          <w:color w:val="FF0000"/>
          <w:lang w:val="en-GB"/>
        </w:rPr>
        <w:t xml:space="preserve">work to ensure the interoperability of its work with </w:t>
      </w:r>
      <w:r w:rsidR="007031B7" w:rsidRPr="00BA5461">
        <w:rPr>
          <w:color w:val="FF0000"/>
          <w:lang w:val="en-GB"/>
        </w:rPr>
        <w:t>organisations that are pursuing similar objectives</w:t>
      </w:r>
      <w:r w:rsidR="00DB357B" w:rsidRPr="00BA5461">
        <w:rPr>
          <w:color w:val="FF0000"/>
          <w:lang w:val="en-GB"/>
        </w:rPr>
        <w:t>.</w:t>
      </w:r>
    </w:p>
    <w:p w14:paraId="07F283A3" w14:textId="089D0413" w:rsidR="00436BA9" w:rsidRPr="00BA5461" w:rsidRDefault="00DB357B" w:rsidP="00436BA9">
      <w:pPr>
        <w:pStyle w:val="ListParagraph"/>
        <w:numPr>
          <w:ilvl w:val="0"/>
          <w:numId w:val="8"/>
        </w:numPr>
        <w:spacing w:before="240" w:after="240"/>
        <w:ind w:left="714" w:hanging="357"/>
        <w:contextualSpacing w:val="0"/>
        <w:rPr>
          <w:color w:val="FF0000"/>
          <w:lang w:val="en-GB"/>
        </w:rPr>
      </w:pPr>
      <w:r w:rsidRPr="00BA5461">
        <w:rPr>
          <w:b/>
          <w:bCs/>
          <w:color w:val="FF0000"/>
          <w:lang w:val="en-GB"/>
        </w:rPr>
        <w:t>C</w:t>
      </w:r>
      <w:r w:rsidR="00AA7C77" w:rsidRPr="00BA5461">
        <w:rPr>
          <w:b/>
          <w:bCs/>
          <w:color w:val="FF0000"/>
          <w:lang w:val="en-GB"/>
        </w:rPr>
        <w:t>onsultation</w:t>
      </w:r>
      <w:r w:rsidR="00AA7C77" w:rsidRPr="00BA5461">
        <w:rPr>
          <w:color w:val="FF0000"/>
          <w:lang w:val="en-GB"/>
        </w:rPr>
        <w:t>.</w:t>
      </w:r>
      <w:r w:rsidR="005571AE" w:rsidRPr="00BA5461">
        <w:rPr>
          <w:color w:val="FF0000"/>
          <w:lang w:val="en-GB"/>
        </w:rPr>
        <w:t xml:space="preserve"> </w:t>
      </w:r>
      <w:r w:rsidR="0015277B" w:rsidRPr="00BA5461">
        <w:rPr>
          <w:color w:val="FF0000"/>
          <w:lang w:val="en-GB"/>
        </w:rPr>
        <w:t xml:space="preserve">GH2 </w:t>
      </w:r>
      <w:r w:rsidR="00990E58" w:rsidRPr="00BA5461">
        <w:rPr>
          <w:color w:val="FF0000"/>
          <w:lang w:val="en-GB"/>
        </w:rPr>
        <w:t xml:space="preserve">accreditation and certification </w:t>
      </w:r>
      <w:r w:rsidR="0015277B" w:rsidRPr="00BA5461">
        <w:rPr>
          <w:color w:val="FF0000"/>
          <w:lang w:val="en-GB"/>
        </w:rPr>
        <w:t>requires broad-based stakeholder consultation</w:t>
      </w:r>
      <w:r w:rsidR="00D64D3E" w:rsidRPr="00BA5461">
        <w:rPr>
          <w:color w:val="FF0000"/>
          <w:lang w:val="en-GB"/>
        </w:rPr>
        <w:t>.</w:t>
      </w:r>
      <w:r w:rsidR="00570E26" w:rsidRPr="00BA5461">
        <w:rPr>
          <w:color w:val="FF0000"/>
          <w:lang w:val="en-GB"/>
        </w:rPr>
        <w:t xml:space="preserve"> </w:t>
      </w:r>
      <w:r w:rsidR="0015277B" w:rsidRPr="00BA5461">
        <w:rPr>
          <w:color w:val="FF0000"/>
          <w:lang w:val="en-GB"/>
        </w:rPr>
        <w:t xml:space="preserve">All stakeholders have important and relevant contributions to make - including governments and their agencies, </w:t>
      </w:r>
      <w:r w:rsidR="003B02FB" w:rsidRPr="00BA5461">
        <w:rPr>
          <w:color w:val="FF0000"/>
          <w:lang w:val="en-GB"/>
        </w:rPr>
        <w:t xml:space="preserve">companies and their suppliers, </w:t>
      </w:r>
      <w:r w:rsidR="0015277B" w:rsidRPr="00BA5461">
        <w:rPr>
          <w:color w:val="FF0000"/>
          <w:lang w:val="en-GB"/>
        </w:rPr>
        <w:t xml:space="preserve">financial organisations, </w:t>
      </w:r>
      <w:proofErr w:type="gramStart"/>
      <w:r w:rsidR="0015277B" w:rsidRPr="00BA5461">
        <w:rPr>
          <w:color w:val="FF0000"/>
          <w:lang w:val="en-GB"/>
        </w:rPr>
        <w:t>investors</w:t>
      </w:r>
      <w:proofErr w:type="gramEnd"/>
      <w:r w:rsidR="0015277B" w:rsidRPr="00BA5461">
        <w:rPr>
          <w:color w:val="FF0000"/>
          <w:lang w:val="en-GB"/>
        </w:rPr>
        <w:t xml:space="preserve"> and non-governmental organisations</w:t>
      </w:r>
      <w:r w:rsidR="003B02FB" w:rsidRPr="00BA5461">
        <w:rPr>
          <w:color w:val="FF0000"/>
          <w:lang w:val="en-GB"/>
        </w:rPr>
        <w:t>.</w:t>
      </w:r>
      <w:r w:rsidR="00DB1A8F" w:rsidRPr="00BA5461">
        <w:rPr>
          <w:color w:val="FF0000"/>
          <w:lang w:val="en-GB"/>
        </w:rPr>
        <w:t xml:space="preserve"> </w:t>
      </w:r>
      <w:r w:rsidR="00D64D3E" w:rsidRPr="00BA5461">
        <w:rPr>
          <w:color w:val="FF0000"/>
          <w:lang w:val="en-GB"/>
        </w:rPr>
        <w:t xml:space="preserve">We support the principle of free, </w:t>
      </w:r>
      <w:proofErr w:type="gramStart"/>
      <w:r w:rsidR="00D64D3E" w:rsidRPr="00BA5461">
        <w:rPr>
          <w:color w:val="FF0000"/>
          <w:lang w:val="en-GB"/>
        </w:rPr>
        <w:t>prior</w:t>
      </w:r>
      <w:proofErr w:type="gramEnd"/>
      <w:r w:rsidR="00D64D3E" w:rsidRPr="00BA5461">
        <w:rPr>
          <w:color w:val="FF0000"/>
          <w:lang w:val="en-GB"/>
        </w:rPr>
        <w:t xml:space="preserve"> and informed consent. </w:t>
      </w:r>
    </w:p>
    <w:p w14:paraId="3F3FA18D" w14:textId="2414E4A9" w:rsidR="008C3883" w:rsidRPr="00BA5461" w:rsidRDefault="009620DC" w:rsidP="008C3883">
      <w:pPr>
        <w:pStyle w:val="ListParagraph"/>
        <w:numPr>
          <w:ilvl w:val="0"/>
          <w:numId w:val="8"/>
        </w:numPr>
        <w:spacing w:before="240" w:after="240"/>
        <w:ind w:left="714" w:hanging="357"/>
        <w:contextualSpacing w:val="0"/>
        <w:rPr>
          <w:color w:val="FF0000"/>
          <w:lang w:val="en-GB"/>
        </w:rPr>
      </w:pPr>
      <w:r w:rsidRPr="00BA5461">
        <w:rPr>
          <w:b/>
          <w:bCs/>
          <w:color w:val="FF0000"/>
          <w:lang w:val="en-GB"/>
        </w:rPr>
        <w:t>Transparency</w:t>
      </w:r>
      <w:r w:rsidRPr="00BA5461">
        <w:rPr>
          <w:color w:val="FF0000"/>
          <w:lang w:val="en-GB"/>
        </w:rPr>
        <w:t xml:space="preserve">. </w:t>
      </w:r>
      <w:r w:rsidR="0052458E" w:rsidRPr="00BA5461">
        <w:rPr>
          <w:color w:val="FF0000"/>
          <w:lang w:val="en-GB"/>
        </w:rPr>
        <w:t>To contribute to informed public debate, t</w:t>
      </w:r>
      <w:r w:rsidR="008C3883" w:rsidRPr="00BA5461">
        <w:rPr>
          <w:color w:val="FF0000"/>
          <w:lang w:val="en-GB"/>
        </w:rPr>
        <w:t xml:space="preserve">he GH2 expects disclosures from project </w:t>
      </w:r>
      <w:r w:rsidR="00AE5713" w:rsidRPr="00BA5461">
        <w:rPr>
          <w:color w:val="FF0000"/>
          <w:lang w:val="en-GB"/>
        </w:rPr>
        <w:t>operator</w:t>
      </w:r>
      <w:r w:rsidR="008C3883" w:rsidRPr="00BA5461">
        <w:rPr>
          <w:color w:val="FF0000"/>
          <w:lang w:val="en-GB"/>
        </w:rPr>
        <w:t xml:space="preserve">s to be timely, comprehensive, and publicly accessible. </w:t>
      </w:r>
      <w:r w:rsidR="00197263" w:rsidRPr="00BA5461">
        <w:rPr>
          <w:color w:val="FF0000"/>
          <w:lang w:val="en-GB"/>
        </w:rPr>
        <w:t>T</w:t>
      </w:r>
      <w:r w:rsidR="008241CA" w:rsidRPr="00BA5461">
        <w:rPr>
          <w:color w:val="FF0000"/>
          <w:lang w:val="en-GB"/>
        </w:rPr>
        <w:t xml:space="preserve">his information should be made </w:t>
      </w:r>
      <w:r w:rsidR="00380DEA" w:rsidRPr="00BA5461">
        <w:rPr>
          <w:color w:val="FF0000"/>
          <w:lang w:val="en-GB"/>
        </w:rPr>
        <w:t xml:space="preserve">freely </w:t>
      </w:r>
      <w:r w:rsidR="008241CA" w:rsidRPr="00BA5461">
        <w:rPr>
          <w:color w:val="FF0000"/>
          <w:lang w:val="en-GB"/>
        </w:rPr>
        <w:t>available online</w:t>
      </w:r>
      <w:r w:rsidR="00380DEA" w:rsidRPr="00BA5461">
        <w:rPr>
          <w:color w:val="FF0000"/>
          <w:lang w:val="en-GB"/>
        </w:rPr>
        <w:t>.</w:t>
      </w:r>
      <w:r w:rsidR="00197263" w:rsidRPr="00BA5461">
        <w:rPr>
          <w:color w:val="FF0000"/>
          <w:lang w:val="en-GB"/>
        </w:rPr>
        <w:t xml:space="preserve"> </w:t>
      </w:r>
      <w:r w:rsidR="00B85F00" w:rsidRPr="00BA5461">
        <w:rPr>
          <w:color w:val="FF0000"/>
          <w:lang w:val="en-GB"/>
        </w:rPr>
        <w:t xml:space="preserve">Free access to, and subsequent re-use of, open data are of significant value to society. </w:t>
      </w:r>
    </w:p>
    <w:p w14:paraId="7A5C7576" w14:textId="5896089F" w:rsidR="00AA7C77" w:rsidRPr="00BA5461" w:rsidRDefault="006A7970" w:rsidP="008C3883">
      <w:pPr>
        <w:pStyle w:val="ListParagraph"/>
        <w:numPr>
          <w:ilvl w:val="0"/>
          <w:numId w:val="8"/>
        </w:numPr>
        <w:spacing w:before="240" w:after="240"/>
        <w:ind w:left="714" w:hanging="357"/>
        <w:contextualSpacing w:val="0"/>
        <w:rPr>
          <w:color w:val="FF0000"/>
          <w:lang w:val="en-GB"/>
        </w:rPr>
      </w:pPr>
      <w:r w:rsidRPr="00BA5461">
        <w:rPr>
          <w:b/>
          <w:bCs/>
          <w:color w:val="FF0000"/>
          <w:lang w:val="en-GB"/>
        </w:rPr>
        <w:t>Concerns and a</w:t>
      </w:r>
      <w:r w:rsidR="00AA7C77" w:rsidRPr="00BA5461">
        <w:rPr>
          <w:b/>
          <w:bCs/>
          <w:color w:val="FF0000"/>
          <w:lang w:val="en-GB"/>
        </w:rPr>
        <w:t>ppeals</w:t>
      </w:r>
      <w:r w:rsidR="00333B6F" w:rsidRPr="00BA5461">
        <w:rPr>
          <w:color w:val="FF0000"/>
          <w:lang w:val="en-GB"/>
        </w:rPr>
        <w:t xml:space="preserve">. </w:t>
      </w:r>
      <w:r w:rsidR="00570E26" w:rsidRPr="00BA5461">
        <w:rPr>
          <w:color w:val="FF0000"/>
          <w:lang w:val="en-GB"/>
        </w:rPr>
        <w:t xml:space="preserve">The onus is on the project </w:t>
      </w:r>
      <w:r w:rsidR="00AE5713" w:rsidRPr="00BA5461">
        <w:rPr>
          <w:color w:val="FF0000"/>
          <w:lang w:val="en-GB"/>
        </w:rPr>
        <w:t>operator</w:t>
      </w:r>
      <w:r w:rsidR="00570E26" w:rsidRPr="00BA5461">
        <w:rPr>
          <w:color w:val="FF0000"/>
          <w:lang w:val="en-GB"/>
        </w:rPr>
        <w:t xml:space="preserve"> to demonstrate their adherence to GH2’s requirements. </w:t>
      </w:r>
      <w:r w:rsidR="000A0EFC" w:rsidRPr="00BA5461">
        <w:rPr>
          <w:color w:val="FF0000"/>
          <w:lang w:val="en-GB"/>
        </w:rPr>
        <w:t xml:space="preserve">GH2 </w:t>
      </w:r>
      <w:r w:rsidRPr="00BA5461">
        <w:rPr>
          <w:color w:val="FF0000"/>
          <w:lang w:val="en-GB"/>
        </w:rPr>
        <w:t xml:space="preserve">shall </w:t>
      </w:r>
      <w:r w:rsidR="000A0EFC" w:rsidRPr="00BA5461">
        <w:rPr>
          <w:color w:val="FF0000"/>
          <w:lang w:val="en-GB"/>
        </w:rPr>
        <w:t>validate</w:t>
      </w:r>
      <w:r w:rsidR="00977E79" w:rsidRPr="00BA5461">
        <w:rPr>
          <w:color w:val="FF0000"/>
          <w:lang w:val="en-GB"/>
        </w:rPr>
        <w:t xml:space="preserve"> projects</w:t>
      </w:r>
      <w:r w:rsidR="000A0EFC" w:rsidRPr="00BA5461">
        <w:rPr>
          <w:color w:val="FF0000"/>
          <w:lang w:val="en-GB"/>
        </w:rPr>
        <w:t xml:space="preserve"> </w:t>
      </w:r>
      <w:r w:rsidRPr="00BA5461">
        <w:rPr>
          <w:color w:val="FF0000"/>
          <w:lang w:val="en-GB"/>
        </w:rPr>
        <w:t xml:space="preserve">in accordance with the agreed procedures but is not an </w:t>
      </w:r>
      <w:r w:rsidR="000A0EFC" w:rsidRPr="00BA5461">
        <w:rPr>
          <w:color w:val="FF0000"/>
          <w:lang w:val="en-GB"/>
        </w:rPr>
        <w:t>investigat</w:t>
      </w:r>
      <w:r w:rsidRPr="00BA5461">
        <w:rPr>
          <w:color w:val="FF0000"/>
          <w:lang w:val="en-GB"/>
        </w:rPr>
        <w:t>iv</w:t>
      </w:r>
      <w:r w:rsidR="000A0EFC" w:rsidRPr="00BA5461">
        <w:rPr>
          <w:color w:val="FF0000"/>
          <w:lang w:val="en-GB"/>
        </w:rPr>
        <w:t>e</w:t>
      </w:r>
      <w:r w:rsidRPr="00BA5461">
        <w:rPr>
          <w:color w:val="FF0000"/>
          <w:lang w:val="en-GB"/>
        </w:rPr>
        <w:t xml:space="preserve"> body</w:t>
      </w:r>
      <w:r w:rsidR="000A0EFC" w:rsidRPr="00BA5461">
        <w:rPr>
          <w:color w:val="FF0000"/>
          <w:lang w:val="en-GB"/>
        </w:rPr>
        <w:t xml:space="preserve">. </w:t>
      </w:r>
      <w:r w:rsidR="00AA7C77" w:rsidRPr="00BA5461">
        <w:rPr>
          <w:color w:val="FF0000"/>
          <w:lang w:val="en-GB"/>
        </w:rPr>
        <w:t xml:space="preserve">Stakeholders with a concern regarding compliance with </w:t>
      </w:r>
      <w:r w:rsidRPr="00BA5461">
        <w:rPr>
          <w:color w:val="FF0000"/>
          <w:lang w:val="en-GB"/>
        </w:rPr>
        <w:t xml:space="preserve">the Standard </w:t>
      </w:r>
      <w:r w:rsidR="00AA7C77" w:rsidRPr="00BA5461">
        <w:rPr>
          <w:color w:val="FF0000"/>
          <w:lang w:val="en-GB"/>
        </w:rPr>
        <w:t xml:space="preserve">should first raise it to the attention of the project </w:t>
      </w:r>
      <w:r w:rsidR="00AE5713" w:rsidRPr="00BA5461">
        <w:rPr>
          <w:color w:val="FF0000"/>
          <w:lang w:val="en-GB"/>
        </w:rPr>
        <w:t>operator</w:t>
      </w:r>
      <w:r w:rsidR="00AA7C77" w:rsidRPr="00BA5461">
        <w:rPr>
          <w:color w:val="FF0000"/>
          <w:lang w:val="en-GB"/>
        </w:rPr>
        <w:t xml:space="preserve"> and the appropriate national authorities</w:t>
      </w:r>
      <w:r w:rsidR="001870A2" w:rsidRPr="00BA5461">
        <w:rPr>
          <w:color w:val="FF0000"/>
          <w:lang w:val="en-GB"/>
        </w:rPr>
        <w:t xml:space="preserve"> where applicable</w:t>
      </w:r>
      <w:r w:rsidR="00AA7C77" w:rsidRPr="00BA5461">
        <w:rPr>
          <w:color w:val="FF0000"/>
          <w:lang w:val="en-GB"/>
        </w:rPr>
        <w:t>. If this is not appropriate or if the concern remains, the</w:t>
      </w:r>
      <w:r w:rsidR="00977E79" w:rsidRPr="00BA5461">
        <w:rPr>
          <w:color w:val="FF0000"/>
          <w:lang w:val="en-GB"/>
        </w:rPr>
        <w:t xml:space="preserve"> stakeholder may petition GH2 to consider the matter.</w:t>
      </w:r>
      <w:r w:rsidR="00190CB3" w:rsidRPr="00BA5461">
        <w:rPr>
          <w:color w:val="FF0000"/>
          <w:lang w:val="en-GB"/>
        </w:rPr>
        <w:t xml:space="preserve"> GH2 will establish a mechanism for</w:t>
      </w:r>
      <w:r w:rsidR="00060F5C" w:rsidRPr="00BA5461">
        <w:rPr>
          <w:color w:val="FF0000"/>
          <w:lang w:val="en-GB"/>
        </w:rPr>
        <w:t xml:space="preserve"> appeals and voicing a concern.</w:t>
      </w:r>
    </w:p>
    <w:p w14:paraId="21AF5657" w14:textId="57041AC2" w:rsidR="008C3883" w:rsidRPr="00BA5461" w:rsidRDefault="008C3883" w:rsidP="008C3883">
      <w:pPr>
        <w:pStyle w:val="Heading2"/>
        <w:spacing w:before="120" w:after="120"/>
        <w:rPr>
          <w:lang w:val="en-GB"/>
        </w:rPr>
      </w:pPr>
      <w:r w:rsidRPr="00BA5461">
        <w:rPr>
          <w:lang w:val="en-GB"/>
        </w:rPr>
        <w:t>2.2</w:t>
      </w:r>
      <w:r w:rsidRPr="00BA5461">
        <w:rPr>
          <w:lang w:val="en-GB"/>
        </w:rPr>
        <w:tab/>
        <w:t>GH2 Requirements</w:t>
      </w:r>
    </w:p>
    <w:p w14:paraId="20C6254D" w14:textId="7F729817" w:rsidR="00043692" w:rsidRPr="00BA5461" w:rsidRDefault="003527BA" w:rsidP="00043692">
      <w:pPr>
        <w:spacing w:before="240" w:after="240"/>
        <w:rPr>
          <w:lang w:val="en-GB"/>
        </w:rPr>
      </w:pPr>
      <w:r w:rsidRPr="00BA5461">
        <w:rPr>
          <w:lang w:val="en-GB"/>
        </w:rPr>
        <w:t xml:space="preserve">The </w:t>
      </w:r>
      <w:r w:rsidR="00763AB8" w:rsidRPr="00BA5461">
        <w:rPr>
          <w:lang w:val="en-GB"/>
        </w:rPr>
        <w:t>seven</w:t>
      </w:r>
      <w:r w:rsidRPr="00BA5461">
        <w:rPr>
          <w:lang w:val="en-GB"/>
        </w:rPr>
        <w:t xml:space="preserve"> requirements </w:t>
      </w:r>
      <w:r w:rsidR="00E05733" w:rsidRPr="00BA5461">
        <w:rPr>
          <w:lang w:val="en-GB"/>
        </w:rPr>
        <w:t xml:space="preserve">below </w:t>
      </w:r>
      <w:r w:rsidRPr="00BA5461">
        <w:rPr>
          <w:lang w:val="en-GB"/>
        </w:rPr>
        <w:t xml:space="preserve">outline the specific requirements that must be met </w:t>
      </w:r>
      <w:proofErr w:type="gramStart"/>
      <w:r w:rsidRPr="00BA5461">
        <w:rPr>
          <w:lang w:val="en-GB"/>
        </w:rPr>
        <w:t>in order for</w:t>
      </w:r>
      <w:proofErr w:type="gramEnd"/>
      <w:r w:rsidRPr="00BA5461">
        <w:rPr>
          <w:lang w:val="en-GB"/>
        </w:rPr>
        <w:t xml:space="preserve"> projects to be accredited and certified by GH2. In some cases, the requirements reference policy notes. Policy notes provide additional detail and assessment criteria. Further refinements and interpretations are likely to occur and will be communicated through revised requirements and additional policy notes.</w:t>
      </w:r>
    </w:p>
    <w:p w14:paraId="3ED70518" w14:textId="0C802121" w:rsidR="00E77CEB" w:rsidRPr="00BA5461" w:rsidRDefault="00763AB8" w:rsidP="009D5DE3">
      <w:pPr>
        <w:spacing w:before="240" w:after="240"/>
        <w:jc w:val="center"/>
        <w:rPr>
          <w:lang w:val="en-GB"/>
        </w:rPr>
      </w:pPr>
      <w:r w:rsidRPr="00BA5461">
        <w:rPr>
          <w:noProof/>
          <w:lang w:val="en-GB"/>
        </w:rPr>
        <w:lastRenderedPageBreak/>
        <w:drawing>
          <wp:inline distT="0" distB="0" distL="0" distR="0" wp14:anchorId="2A839BB9" wp14:editId="29FE1BA4">
            <wp:extent cx="6116320" cy="3216910"/>
            <wp:effectExtent l="0" t="0" r="0" b="254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4"/>
                    <a:stretch>
                      <a:fillRect/>
                    </a:stretch>
                  </pic:blipFill>
                  <pic:spPr>
                    <a:xfrm>
                      <a:off x="0" y="0"/>
                      <a:ext cx="6116320" cy="3216910"/>
                    </a:xfrm>
                    <a:prstGeom prst="rect">
                      <a:avLst/>
                    </a:prstGeom>
                  </pic:spPr>
                </pic:pic>
              </a:graphicData>
            </a:graphic>
          </wp:inline>
        </w:drawing>
      </w:r>
    </w:p>
    <w:p w14:paraId="54B28399" w14:textId="152377D1" w:rsidR="00900F08" w:rsidRPr="00BA5461" w:rsidRDefault="00E05733" w:rsidP="008C3883">
      <w:pPr>
        <w:spacing w:before="240" w:after="240"/>
        <w:rPr>
          <w:b/>
          <w:bCs/>
          <w:lang w:val="en-GB"/>
        </w:rPr>
      </w:pPr>
      <w:bookmarkStart w:id="7" w:name="_Toc94641811"/>
      <w:r w:rsidRPr="00BA5461">
        <w:rPr>
          <w:b/>
          <w:bCs/>
          <w:lang w:val="en-GB"/>
        </w:rPr>
        <w:t>Terminol</w:t>
      </w:r>
      <w:r w:rsidR="00900F08" w:rsidRPr="00BA5461">
        <w:rPr>
          <w:b/>
          <w:bCs/>
          <w:lang w:val="en-GB"/>
        </w:rPr>
        <w:t>ogy</w:t>
      </w:r>
    </w:p>
    <w:p w14:paraId="782054FD" w14:textId="593B582C" w:rsidR="008C3883" w:rsidRPr="00BA5461" w:rsidRDefault="008C3883" w:rsidP="008C3883">
      <w:pPr>
        <w:spacing w:before="240" w:after="240"/>
        <w:rPr>
          <w:lang w:val="en-GB"/>
        </w:rPr>
      </w:pPr>
      <w:r w:rsidRPr="00BA5461">
        <w:rPr>
          <w:lang w:val="en-GB"/>
        </w:rPr>
        <w:t xml:space="preserve">The use of the terms </w:t>
      </w:r>
      <w:r w:rsidRPr="00BA5461">
        <w:rPr>
          <w:b/>
          <w:bCs/>
          <w:lang w:val="en-GB"/>
        </w:rPr>
        <w:t>‘must’</w:t>
      </w:r>
      <w:r w:rsidRPr="00BA5461">
        <w:rPr>
          <w:lang w:val="en-GB"/>
        </w:rPr>
        <w:t xml:space="preserve">, </w:t>
      </w:r>
      <w:r w:rsidRPr="00BA5461">
        <w:rPr>
          <w:b/>
          <w:bCs/>
          <w:lang w:val="en-GB"/>
        </w:rPr>
        <w:t>‘should’</w:t>
      </w:r>
      <w:r w:rsidRPr="00BA5461">
        <w:rPr>
          <w:lang w:val="en-GB"/>
        </w:rPr>
        <w:t xml:space="preserve"> and </w:t>
      </w:r>
      <w:r w:rsidRPr="00BA5461">
        <w:rPr>
          <w:b/>
          <w:bCs/>
          <w:lang w:val="en-GB"/>
        </w:rPr>
        <w:t>‘required’</w:t>
      </w:r>
      <w:r w:rsidRPr="00BA5461">
        <w:rPr>
          <w:lang w:val="en-GB"/>
        </w:rPr>
        <w:t xml:space="preserve"> in the Green Hydrogen Standard indicates that a provision is mandatory and will be </w:t>
      </w:r>
      <w:proofErr w:type="gramStart"/>
      <w:r w:rsidRPr="00BA5461">
        <w:rPr>
          <w:lang w:val="en-GB"/>
        </w:rPr>
        <w:t>taken into account</w:t>
      </w:r>
      <w:proofErr w:type="gramEnd"/>
      <w:r w:rsidRPr="00BA5461">
        <w:rPr>
          <w:lang w:val="en-GB"/>
        </w:rPr>
        <w:t xml:space="preserve"> in the certification of the project. </w:t>
      </w:r>
    </w:p>
    <w:p w14:paraId="0B697157" w14:textId="77777777" w:rsidR="008C3883" w:rsidRPr="00BA5461" w:rsidRDefault="008C3883" w:rsidP="008C3883">
      <w:pPr>
        <w:spacing w:before="240" w:after="240"/>
        <w:rPr>
          <w:lang w:val="en-GB"/>
        </w:rPr>
      </w:pPr>
      <w:r w:rsidRPr="00BA5461">
        <w:rPr>
          <w:lang w:val="en-GB"/>
        </w:rPr>
        <w:t xml:space="preserve">The use of the term </w:t>
      </w:r>
      <w:r w:rsidRPr="00BA5461">
        <w:rPr>
          <w:b/>
          <w:bCs/>
          <w:lang w:val="en-GB"/>
        </w:rPr>
        <w:t>‘expected’</w:t>
      </w:r>
      <w:r w:rsidRPr="00BA5461">
        <w:rPr>
          <w:lang w:val="en-GB"/>
        </w:rPr>
        <w:t xml:space="preserve"> in the Green Hydrogen Standard indicates that the project operator should consider the issue and document their discussions and position. Certification will consider the progress made on these issues and any barriers to meeting the expectation. </w:t>
      </w:r>
    </w:p>
    <w:p w14:paraId="672DBACB" w14:textId="77777777" w:rsidR="008C3883" w:rsidRPr="00BA5461" w:rsidRDefault="008C3883" w:rsidP="008C3883">
      <w:pPr>
        <w:spacing w:before="240" w:after="240"/>
        <w:rPr>
          <w:lang w:val="en-GB"/>
        </w:rPr>
      </w:pPr>
      <w:r w:rsidRPr="00BA5461">
        <w:rPr>
          <w:lang w:val="en-GB"/>
        </w:rPr>
        <w:t xml:space="preserve">The use of the terms </w:t>
      </w:r>
      <w:r w:rsidRPr="00BA5461">
        <w:rPr>
          <w:b/>
          <w:bCs/>
          <w:lang w:val="en-GB"/>
        </w:rPr>
        <w:t>‘recommended’</w:t>
      </w:r>
      <w:r w:rsidRPr="00BA5461">
        <w:rPr>
          <w:lang w:val="en-GB"/>
        </w:rPr>
        <w:t xml:space="preserve">, </w:t>
      </w:r>
      <w:r w:rsidRPr="00BA5461">
        <w:rPr>
          <w:b/>
          <w:bCs/>
          <w:lang w:val="en-GB"/>
        </w:rPr>
        <w:t>‘encouraged’</w:t>
      </w:r>
      <w:r w:rsidRPr="00BA5461">
        <w:rPr>
          <w:lang w:val="en-GB"/>
        </w:rPr>
        <w:t xml:space="preserve">, </w:t>
      </w:r>
      <w:r w:rsidRPr="00BA5461">
        <w:rPr>
          <w:b/>
          <w:bCs/>
          <w:lang w:val="en-GB"/>
        </w:rPr>
        <w:t>‘may wish’</w:t>
      </w:r>
      <w:r w:rsidRPr="00BA5461">
        <w:rPr>
          <w:lang w:val="en-GB"/>
        </w:rPr>
        <w:t xml:space="preserve"> and </w:t>
      </w:r>
      <w:r w:rsidRPr="00BA5461">
        <w:rPr>
          <w:b/>
          <w:bCs/>
          <w:lang w:val="en-GB"/>
        </w:rPr>
        <w:t>‘could’</w:t>
      </w:r>
      <w:r w:rsidRPr="00BA5461">
        <w:rPr>
          <w:lang w:val="en-GB"/>
        </w:rPr>
        <w:t xml:space="preserve"> in the Green Hydrogen Standard indicates that a provision is optional. Certification will consider any work to address these issues, but progress will not impact certification. </w:t>
      </w:r>
    </w:p>
    <w:p w14:paraId="6063F3AE" w14:textId="77777777" w:rsidR="008C3883" w:rsidRPr="00BA5461" w:rsidRDefault="008C3883" w:rsidP="008C3883">
      <w:pPr>
        <w:spacing w:before="240" w:after="240"/>
        <w:rPr>
          <w:lang w:val="en-GB"/>
        </w:rPr>
      </w:pPr>
      <w:r w:rsidRPr="00BA5461">
        <w:rPr>
          <w:lang w:val="en-GB"/>
        </w:rPr>
        <w:t xml:space="preserve">The accreditation and certification procedure </w:t>
      </w:r>
      <w:proofErr w:type="gramStart"/>
      <w:r w:rsidRPr="00BA5461">
        <w:rPr>
          <w:lang w:val="en-GB"/>
        </w:rPr>
        <w:t>is</w:t>
      </w:r>
      <w:proofErr w:type="gramEnd"/>
      <w:r w:rsidRPr="00BA5461">
        <w:rPr>
          <w:lang w:val="en-GB"/>
        </w:rPr>
        <w:t xml:space="preserve"> set out in more detail in chapter 3. </w:t>
      </w:r>
    </w:p>
    <w:p w14:paraId="2F5F34AB" w14:textId="758856AA" w:rsidR="00512EF1" w:rsidRPr="00BA5461" w:rsidRDefault="008C3883" w:rsidP="008C3883">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the project owner and operator publish a publicly accessible overview of the project, addressing the objectives and expected outcomes and impact. This should include.</w:t>
      </w:r>
    </w:p>
    <w:p w14:paraId="2D9D48F5" w14:textId="1A948586" w:rsidR="004365E4" w:rsidRPr="00BA5461" w:rsidRDefault="004365E4" w:rsidP="004365E4">
      <w:pPr>
        <w:spacing w:before="240" w:after="240"/>
        <w:rPr>
          <w:b/>
          <w:bCs/>
          <w:lang w:val="en-GB"/>
        </w:rPr>
      </w:pPr>
      <w:r w:rsidRPr="00BA5461">
        <w:rPr>
          <w:b/>
          <w:bCs/>
          <w:lang w:val="en-GB"/>
        </w:rPr>
        <w:t>Acknowledgements</w:t>
      </w:r>
    </w:p>
    <w:p w14:paraId="0604B7A6" w14:textId="276F385E" w:rsidR="004365E4" w:rsidRPr="00BA5461" w:rsidRDefault="00580AB9" w:rsidP="003470D2">
      <w:pPr>
        <w:spacing w:before="240" w:after="240"/>
        <w:rPr>
          <w:lang w:val="en-GB"/>
        </w:rPr>
      </w:pPr>
      <w:r w:rsidRPr="00BA5461">
        <w:rPr>
          <w:lang w:val="en-GB"/>
        </w:rPr>
        <w:lastRenderedPageBreak/>
        <w:t xml:space="preserve">In developing these standards, the GH2 has drawn on </w:t>
      </w:r>
      <w:r w:rsidR="0005208C" w:rsidRPr="00BA5461">
        <w:rPr>
          <w:lang w:val="en-GB"/>
        </w:rPr>
        <w:t xml:space="preserve">a variety of </w:t>
      </w:r>
      <w:r w:rsidRPr="00BA5461">
        <w:rPr>
          <w:lang w:val="en-GB"/>
        </w:rPr>
        <w:t xml:space="preserve">international best practices, </w:t>
      </w:r>
      <w:proofErr w:type="gramStart"/>
      <w:r w:rsidR="0005208C" w:rsidRPr="00BA5461">
        <w:rPr>
          <w:lang w:val="en-GB"/>
        </w:rPr>
        <w:t>in particular the</w:t>
      </w:r>
      <w:proofErr w:type="gramEnd"/>
      <w:r w:rsidR="0005208C" w:rsidRPr="00BA5461">
        <w:rPr>
          <w:lang w:val="en-GB"/>
        </w:rPr>
        <w:t xml:space="preserve"> </w:t>
      </w:r>
      <w:r w:rsidR="00127B23" w:rsidRPr="00BA5461">
        <w:rPr>
          <w:lang w:val="en-GB"/>
        </w:rPr>
        <w:t xml:space="preserve">IFC's </w:t>
      </w:r>
      <w:r w:rsidR="00127B23" w:rsidRPr="00BA5461">
        <w:rPr>
          <w:i/>
          <w:iCs/>
          <w:lang w:val="en-GB"/>
        </w:rPr>
        <w:t>Environmental and Social Performance Standards</w:t>
      </w:r>
      <w:r w:rsidR="00F30AC0" w:rsidRPr="00BA5461">
        <w:rPr>
          <w:rStyle w:val="FootnoteReference"/>
          <w:lang w:val="en-GB"/>
        </w:rPr>
        <w:footnoteReference w:id="6"/>
      </w:r>
      <w:r w:rsidR="00F30AC0" w:rsidRPr="00BA5461">
        <w:rPr>
          <w:lang w:val="en-GB"/>
        </w:rPr>
        <w:t xml:space="preserve">, the </w:t>
      </w:r>
      <w:r w:rsidR="0017512E" w:rsidRPr="00BA5461">
        <w:rPr>
          <w:lang w:val="en-GB"/>
        </w:rPr>
        <w:t xml:space="preserve">Hydropower Sustainability Council’s </w:t>
      </w:r>
      <w:r w:rsidR="003470D2" w:rsidRPr="00BA5461">
        <w:rPr>
          <w:i/>
          <w:iCs/>
          <w:lang w:val="en-GB"/>
        </w:rPr>
        <w:t>Hydropower Sustainability Standard</w:t>
      </w:r>
      <w:r w:rsidR="00B927D3" w:rsidRPr="00BA5461">
        <w:rPr>
          <w:lang w:val="en-GB"/>
        </w:rPr>
        <w:t xml:space="preserve"> </w:t>
      </w:r>
      <w:r w:rsidR="00B927D3" w:rsidRPr="00BA5461">
        <w:rPr>
          <w:rStyle w:val="FootnoteReference"/>
          <w:lang w:val="en-GB"/>
        </w:rPr>
        <w:footnoteReference w:id="7"/>
      </w:r>
      <w:r w:rsidR="006F2579" w:rsidRPr="00BA5461">
        <w:rPr>
          <w:lang w:val="en-GB"/>
        </w:rPr>
        <w:t xml:space="preserve"> </w:t>
      </w:r>
      <w:r w:rsidR="00B927D3" w:rsidRPr="00BA5461">
        <w:rPr>
          <w:lang w:val="en-GB"/>
        </w:rPr>
        <w:t xml:space="preserve">and </w:t>
      </w:r>
      <w:r w:rsidR="006F2579" w:rsidRPr="00BA5461">
        <w:rPr>
          <w:lang w:val="en-GB"/>
        </w:rPr>
        <w:t>the UN Sustainable Development Goals</w:t>
      </w:r>
      <w:r w:rsidR="002A6A5C" w:rsidRPr="00BA5461">
        <w:rPr>
          <w:lang w:val="en-GB"/>
        </w:rPr>
        <w:t xml:space="preserve"> (SDGs)</w:t>
      </w:r>
      <w:r w:rsidR="004365E4" w:rsidRPr="00BA5461">
        <w:rPr>
          <w:lang w:val="en-GB"/>
        </w:rPr>
        <w:t>.</w:t>
      </w:r>
      <w:r w:rsidR="002A6A5C" w:rsidRPr="00BA5461">
        <w:rPr>
          <w:rStyle w:val="FootnoteReference"/>
          <w:lang w:val="en-GB"/>
        </w:rPr>
        <w:t xml:space="preserve"> </w:t>
      </w:r>
    </w:p>
    <w:p w14:paraId="441421D7" w14:textId="5F6F68D6" w:rsidR="00983197" w:rsidRPr="00BA5461" w:rsidRDefault="00983197" w:rsidP="00D20C1A">
      <w:pPr>
        <w:pStyle w:val="Heading1"/>
        <w:ind w:left="2552" w:hanging="2552"/>
        <w:rPr>
          <w:lang w:val="en-GB"/>
        </w:rPr>
      </w:pPr>
      <w:r w:rsidRPr="00BA5461">
        <w:rPr>
          <w:lang w:val="en-GB"/>
        </w:rPr>
        <w:t>Requirement 1</w:t>
      </w:r>
      <w:r w:rsidRPr="00BA5461">
        <w:rPr>
          <w:lang w:val="en-GB"/>
        </w:rPr>
        <w:tab/>
      </w:r>
      <w:r w:rsidR="00A72DDF" w:rsidRPr="00BA5461">
        <w:rPr>
          <w:lang w:val="en-GB"/>
        </w:rPr>
        <w:t>Project overview and outlook</w:t>
      </w:r>
      <w:bookmarkEnd w:id="7"/>
    </w:p>
    <w:p w14:paraId="35D0DB63" w14:textId="5B8C3DA1" w:rsidR="00512EF1" w:rsidRPr="00BA5461" w:rsidRDefault="00512EF1" w:rsidP="00954036">
      <w:pPr>
        <w:spacing w:before="240" w:after="240"/>
        <w:rPr>
          <w:lang w:val="en-GB"/>
        </w:rPr>
      </w:pPr>
      <w:r w:rsidRPr="00BA5461">
        <w:rPr>
          <w:lang w:val="en-GB"/>
        </w:rPr>
        <w:t xml:space="preserve">The objective of this provision is to ensure that the project operator can demonstrate the project’s strategic fit with relevant policies and plans, and that the project is a priority option to meet identified </w:t>
      </w:r>
      <w:r w:rsidR="00E31317" w:rsidRPr="00BA5461">
        <w:rPr>
          <w:lang w:val="en-GB"/>
        </w:rPr>
        <w:t xml:space="preserve">market </w:t>
      </w:r>
      <w:r w:rsidRPr="00BA5461">
        <w:rPr>
          <w:lang w:val="en-GB"/>
        </w:rPr>
        <w:t>needs.</w:t>
      </w:r>
    </w:p>
    <w:p w14:paraId="49089F57" w14:textId="7EEC7CEA" w:rsidR="00954036" w:rsidRPr="00BA5461" w:rsidRDefault="00EC4F5D" w:rsidP="00954036">
      <w:pPr>
        <w:spacing w:before="240" w:after="240"/>
        <w:rPr>
          <w:lang w:val="en-GB"/>
        </w:rPr>
      </w:pPr>
      <w:r w:rsidRPr="00BA5461">
        <w:rPr>
          <w:lang w:val="en-GB"/>
        </w:rPr>
        <w:t xml:space="preserve">GH2 </w:t>
      </w:r>
      <w:r w:rsidR="00644AE6" w:rsidRPr="00BA5461">
        <w:rPr>
          <w:lang w:val="en-GB"/>
        </w:rPr>
        <w:t xml:space="preserve">accreditation and certification </w:t>
      </w:r>
      <w:r w:rsidR="00644AE6" w:rsidRPr="00BA5461">
        <w:rPr>
          <w:u w:val="single"/>
          <w:lang w:val="en-GB"/>
        </w:rPr>
        <w:t>requires</w:t>
      </w:r>
      <w:r w:rsidR="00644AE6" w:rsidRPr="00BA5461">
        <w:rPr>
          <w:lang w:val="en-GB"/>
        </w:rPr>
        <w:t xml:space="preserve"> that the project </w:t>
      </w:r>
      <w:r w:rsidR="004D224B" w:rsidRPr="00BA5461">
        <w:rPr>
          <w:lang w:val="en-GB"/>
        </w:rPr>
        <w:t>operator publish</w:t>
      </w:r>
      <w:r w:rsidR="00E31317" w:rsidRPr="00BA5461">
        <w:rPr>
          <w:lang w:val="en-GB"/>
        </w:rPr>
        <w:t>es</w:t>
      </w:r>
      <w:r w:rsidR="00120A12" w:rsidRPr="00BA5461">
        <w:rPr>
          <w:lang w:val="en-GB"/>
        </w:rPr>
        <w:t xml:space="preserve"> a publicly</w:t>
      </w:r>
      <w:r w:rsidR="00644AE6" w:rsidRPr="00BA5461">
        <w:rPr>
          <w:lang w:val="en-GB"/>
        </w:rPr>
        <w:t xml:space="preserve"> accessible </w:t>
      </w:r>
      <w:r w:rsidR="005325B0" w:rsidRPr="00BA5461">
        <w:rPr>
          <w:lang w:val="en-GB"/>
        </w:rPr>
        <w:t xml:space="preserve">and transparent </w:t>
      </w:r>
      <w:r w:rsidR="00120A12" w:rsidRPr="00BA5461">
        <w:rPr>
          <w:lang w:val="en-GB"/>
        </w:rPr>
        <w:t xml:space="preserve">overview of the project </w:t>
      </w:r>
      <w:r w:rsidR="00093FD5" w:rsidRPr="00BA5461">
        <w:rPr>
          <w:lang w:val="en-GB"/>
        </w:rPr>
        <w:t xml:space="preserve">addressing </w:t>
      </w:r>
      <w:r w:rsidR="004D224B" w:rsidRPr="00BA5461">
        <w:rPr>
          <w:lang w:val="en-GB"/>
        </w:rPr>
        <w:t>expected outcomes</w:t>
      </w:r>
      <w:r w:rsidR="009176C2" w:rsidRPr="00BA5461">
        <w:rPr>
          <w:lang w:val="en-GB"/>
        </w:rPr>
        <w:t xml:space="preserve"> and impact</w:t>
      </w:r>
      <w:r w:rsidR="004D224B" w:rsidRPr="00BA5461">
        <w:rPr>
          <w:lang w:val="en-GB"/>
        </w:rPr>
        <w:t>. This should include</w:t>
      </w:r>
      <w:r w:rsidR="00954036" w:rsidRPr="00BA5461">
        <w:rPr>
          <w:lang w:val="en-GB"/>
        </w:rPr>
        <w:t>:</w:t>
      </w:r>
    </w:p>
    <w:p w14:paraId="1FBAF971" w14:textId="2445D2CA" w:rsidR="005325B0" w:rsidRPr="00BA5461" w:rsidRDefault="005325B0" w:rsidP="00135E8C">
      <w:pPr>
        <w:pStyle w:val="ListParagraph"/>
        <w:numPr>
          <w:ilvl w:val="0"/>
          <w:numId w:val="6"/>
        </w:numPr>
        <w:spacing w:before="240" w:after="240"/>
        <w:rPr>
          <w:lang w:val="en-GB"/>
        </w:rPr>
      </w:pPr>
      <w:r w:rsidRPr="00BA5461">
        <w:rPr>
          <w:lang w:val="en-GB"/>
        </w:rPr>
        <w:t>A simple but complete overview of the project (scope; technology used; capacities; timeframes; involved parties; local and regional impacts</w:t>
      </w:r>
      <w:proofErr w:type="gramStart"/>
      <w:r w:rsidRPr="00BA5461">
        <w:rPr>
          <w:lang w:val="en-GB"/>
        </w:rPr>
        <w:t>)</w:t>
      </w:r>
      <w:r w:rsidR="00EC4BD0" w:rsidRPr="00BA5461">
        <w:rPr>
          <w:lang w:val="en-GB"/>
        </w:rPr>
        <w:t>;</w:t>
      </w:r>
      <w:proofErr w:type="gramEnd"/>
    </w:p>
    <w:p w14:paraId="44F7DFE8" w14:textId="3DD424E5" w:rsidR="00B927D3" w:rsidRPr="00BA5461" w:rsidRDefault="00063B2C" w:rsidP="00954036">
      <w:pPr>
        <w:pStyle w:val="ListParagraph"/>
        <w:numPr>
          <w:ilvl w:val="0"/>
          <w:numId w:val="6"/>
        </w:numPr>
        <w:spacing w:before="240" w:after="240"/>
        <w:rPr>
          <w:lang w:val="en-GB"/>
        </w:rPr>
      </w:pPr>
      <w:r w:rsidRPr="00BA5461">
        <w:rPr>
          <w:lang w:val="en-GB"/>
        </w:rPr>
        <w:t xml:space="preserve">A summary of the </w:t>
      </w:r>
      <w:r w:rsidR="005325B0" w:rsidRPr="00BA5461">
        <w:rPr>
          <w:lang w:val="en-GB"/>
        </w:rPr>
        <w:t>project’s contribution to local and national policies and plans objectives</w:t>
      </w:r>
      <w:r w:rsidRPr="00BA5461">
        <w:rPr>
          <w:lang w:val="en-GB"/>
        </w:rPr>
        <w:t xml:space="preserve">, and the </w:t>
      </w:r>
      <w:r w:rsidR="00B927D3" w:rsidRPr="00BA5461">
        <w:rPr>
          <w:lang w:val="en-GB"/>
        </w:rPr>
        <w:t>project</w:t>
      </w:r>
      <w:r w:rsidRPr="00BA5461">
        <w:rPr>
          <w:lang w:val="en-GB"/>
        </w:rPr>
        <w:t>’</w:t>
      </w:r>
      <w:r w:rsidR="00B927D3" w:rsidRPr="00BA5461">
        <w:rPr>
          <w:lang w:val="en-GB"/>
        </w:rPr>
        <w:t>s contribution to the UN Sustainable Development Goals</w:t>
      </w:r>
      <w:r w:rsidRPr="00BA5461">
        <w:rPr>
          <w:lang w:val="en-GB"/>
        </w:rPr>
        <w:t xml:space="preserve">, where </w:t>
      </w:r>
      <w:proofErr w:type="gramStart"/>
      <w:r w:rsidRPr="00BA5461">
        <w:rPr>
          <w:lang w:val="en-GB"/>
        </w:rPr>
        <w:t>applicable</w:t>
      </w:r>
      <w:r w:rsidR="00EC4BD0" w:rsidRPr="00BA5461">
        <w:rPr>
          <w:lang w:val="en-GB"/>
        </w:rPr>
        <w:t>;</w:t>
      </w:r>
      <w:proofErr w:type="gramEnd"/>
    </w:p>
    <w:p w14:paraId="7F88A6B9" w14:textId="6333A4EA" w:rsidR="00063B2C" w:rsidRPr="00BA5461" w:rsidRDefault="00063B2C" w:rsidP="00063B2C">
      <w:pPr>
        <w:pStyle w:val="ListParagraph"/>
        <w:numPr>
          <w:ilvl w:val="0"/>
          <w:numId w:val="6"/>
        </w:numPr>
        <w:spacing w:before="240" w:after="240"/>
        <w:rPr>
          <w:lang w:val="en-GB"/>
        </w:rPr>
      </w:pPr>
      <w:r w:rsidRPr="00BA5461">
        <w:rPr>
          <w:lang w:val="en-GB"/>
        </w:rPr>
        <w:t xml:space="preserve">A summary of the environmental, </w:t>
      </w:r>
      <w:proofErr w:type="gramStart"/>
      <w:r w:rsidRPr="00BA5461">
        <w:rPr>
          <w:lang w:val="en-GB"/>
        </w:rPr>
        <w:t>social</w:t>
      </w:r>
      <w:proofErr w:type="gramEnd"/>
      <w:r w:rsidRPr="00BA5461">
        <w:rPr>
          <w:lang w:val="en-GB"/>
        </w:rPr>
        <w:t xml:space="preserve"> and economic impact of the project.</w:t>
      </w:r>
    </w:p>
    <w:p w14:paraId="4F4A8571" w14:textId="3DD12B76" w:rsidR="00F228D7" w:rsidRPr="00BA5461" w:rsidRDefault="00F228D7" w:rsidP="00063B2C">
      <w:pPr>
        <w:pStyle w:val="ListParagraph"/>
        <w:numPr>
          <w:ilvl w:val="0"/>
          <w:numId w:val="6"/>
        </w:numPr>
        <w:spacing w:before="240" w:after="240"/>
        <w:rPr>
          <w:lang w:val="en-GB"/>
        </w:rPr>
      </w:pPr>
      <w:r w:rsidRPr="00BA5461">
        <w:rPr>
          <w:lang w:val="en-GB"/>
        </w:rPr>
        <w:t>A summary of how project operators intend to meet and sustain adherence to the requirements of the GH2 Green Hydrogen standard.</w:t>
      </w:r>
    </w:p>
    <w:p w14:paraId="0416D09D" w14:textId="66E73FD9" w:rsidR="0088064F" w:rsidRPr="00BA5461" w:rsidRDefault="00A72DDF" w:rsidP="00D20C1A">
      <w:pPr>
        <w:pStyle w:val="Heading1"/>
        <w:ind w:left="2552" w:hanging="2552"/>
        <w:rPr>
          <w:lang w:val="en-GB"/>
        </w:rPr>
      </w:pPr>
      <w:bookmarkStart w:id="8" w:name="_Toc94641812"/>
      <w:r w:rsidRPr="00BA5461">
        <w:rPr>
          <w:lang w:val="en-GB"/>
        </w:rPr>
        <w:t xml:space="preserve">Requirement </w:t>
      </w:r>
      <w:r w:rsidR="0088064F" w:rsidRPr="00BA5461">
        <w:rPr>
          <w:lang w:val="en-GB"/>
        </w:rPr>
        <w:t>2</w:t>
      </w:r>
      <w:r w:rsidR="0088064F" w:rsidRPr="00BA5461">
        <w:rPr>
          <w:lang w:val="en-GB"/>
        </w:rPr>
        <w:tab/>
      </w:r>
      <w:r w:rsidR="0096088C" w:rsidRPr="00BA5461">
        <w:rPr>
          <w:lang w:val="en-GB"/>
        </w:rPr>
        <w:t>Stakeholder engagement and g</w:t>
      </w:r>
      <w:r w:rsidR="00EC4F5D" w:rsidRPr="00BA5461">
        <w:rPr>
          <w:lang w:val="en-GB"/>
        </w:rPr>
        <w:t>overnment approval</w:t>
      </w:r>
      <w:bookmarkEnd w:id="8"/>
    </w:p>
    <w:p w14:paraId="2998CB3D" w14:textId="07028A7E" w:rsidR="00254686" w:rsidRPr="00BA5461" w:rsidRDefault="00E31317" w:rsidP="00254686">
      <w:pPr>
        <w:spacing w:before="240" w:after="240"/>
        <w:rPr>
          <w:lang w:val="en-GB"/>
        </w:rPr>
      </w:pPr>
      <w:r w:rsidRPr="00BA5461">
        <w:rPr>
          <w:lang w:val="en-GB"/>
        </w:rPr>
        <w:t xml:space="preserve">The objective of this provision </w:t>
      </w:r>
      <w:r w:rsidR="00486EEE" w:rsidRPr="00BA5461">
        <w:rPr>
          <w:lang w:val="en-GB"/>
        </w:rPr>
        <w:t xml:space="preserve">is to </w:t>
      </w:r>
      <w:r w:rsidR="00254686" w:rsidRPr="00BA5461">
        <w:rPr>
          <w:lang w:val="en-GB"/>
        </w:rPr>
        <w:t xml:space="preserve">demonstrate that </w:t>
      </w:r>
      <w:r w:rsidR="00486EEE" w:rsidRPr="00BA5461">
        <w:rPr>
          <w:lang w:val="en-GB"/>
        </w:rPr>
        <w:t xml:space="preserve">the project has been </w:t>
      </w:r>
      <w:r w:rsidR="00254686" w:rsidRPr="00BA5461">
        <w:rPr>
          <w:lang w:val="en-GB"/>
        </w:rPr>
        <w:t xml:space="preserve">subject to </w:t>
      </w:r>
      <w:r w:rsidR="00486EEE" w:rsidRPr="00BA5461">
        <w:rPr>
          <w:lang w:val="en-GB"/>
        </w:rPr>
        <w:t xml:space="preserve">a proper approval process </w:t>
      </w:r>
      <w:r w:rsidR="00254686" w:rsidRPr="00BA5461">
        <w:rPr>
          <w:lang w:val="en-GB"/>
        </w:rPr>
        <w:t>in accordance with national laws and regulations</w:t>
      </w:r>
      <w:r w:rsidR="004A2017" w:rsidRPr="00BA5461">
        <w:rPr>
          <w:lang w:val="en-GB"/>
        </w:rPr>
        <w:t xml:space="preserve">, and that any concerns regarding the project can be addressed through the </w:t>
      </w:r>
      <w:r w:rsidR="0096088C" w:rsidRPr="00BA5461">
        <w:rPr>
          <w:lang w:val="en-GB"/>
        </w:rPr>
        <w:t xml:space="preserve">appropriate channels and with the </w:t>
      </w:r>
      <w:r w:rsidR="004A2017" w:rsidRPr="00BA5461">
        <w:rPr>
          <w:lang w:val="en-GB"/>
        </w:rPr>
        <w:t xml:space="preserve">relevant government authority. </w:t>
      </w:r>
    </w:p>
    <w:p w14:paraId="59A9A1DC" w14:textId="1A59A965" w:rsidR="00954036" w:rsidRPr="00BA5461" w:rsidRDefault="00954036" w:rsidP="00954036">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the project operator publish</w:t>
      </w:r>
      <w:r w:rsidR="00486EEE" w:rsidRPr="00BA5461">
        <w:rPr>
          <w:lang w:val="en-GB"/>
        </w:rPr>
        <w:t>es</w:t>
      </w:r>
      <w:r w:rsidRPr="00BA5461">
        <w:rPr>
          <w:lang w:val="en-GB"/>
        </w:rPr>
        <w:t xml:space="preserve"> a publicly accessible summary of the government </w:t>
      </w:r>
      <w:r w:rsidR="00D2132A" w:rsidRPr="00BA5461">
        <w:rPr>
          <w:lang w:val="en-GB"/>
        </w:rPr>
        <w:t xml:space="preserve">licences and approvals associated with the project. </w:t>
      </w:r>
      <w:r w:rsidRPr="00BA5461">
        <w:rPr>
          <w:lang w:val="en-GB"/>
        </w:rPr>
        <w:t xml:space="preserve">This should </w:t>
      </w:r>
      <w:r w:rsidR="00486EEE" w:rsidRPr="00BA5461">
        <w:rPr>
          <w:lang w:val="en-GB"/>
        </w:rPr>
        <w:t>address</w:t>
      </w:r>
      <w:r w:rsidR="0054618A" w:rsidRPr="00BA5461">
        <w:rPr>
          <w:lang w:val="en-GB"/>
        </w:rPr>
        <w:t xml:space="preserve"> </w:t>
      </w:r>
      <w:r w:rsidR="00E74599" w:rsidRPr="00BA5461">
        <w:rPr>
          <w:lang w:val="en-GB"/>
        </w:rPr>
        <w:t xml:space="preserve">property rights, </w:t>
      </w:r>
      <w:r w:rsidR="0054618A" w:rsidRPr="00BA5461">
        <w:rPr>
          <w:lang w:val="en-GB"/>
        </w:rPr>
        <w:t xml:space="preserve">land </w:t>
      </w:r>
      <w:r w:rsidR="00E74599" w:rsidRPr="00BA5461">
        <w:rPr>
          <w:lang w:val="en-GB"/>
        </w:rPr>
        <w:t>use</w:t>
      </w:r>
      <w:r w:rsidR="0054618A" w:rsidRPr="00BA5461">
        <w:rPr>
          <w:lang w:val="en-GB"/>
        </w:rPr>
        <w:t xml:space="preserve">, </w:t>
      </w:r>
      <w:r w:rsidR="003F07C5" w:rsidRPr="00BA5461">
        <w:rPr>
          <w:lang w:val="en-GB"/>
        </w:rPr>
        <w:t xml:space="preserve">water rights (if applicable) </w:t>
      </w:r>
      <w:r w:rsidR="0054618A" w:rsidRPr="00BA5461">
        <w:rPr>
          <w:lang w:val="en-GB"/>
        </w:rPr>
        <w:t>environmental</w:t>
      </w:r>
      <w:r w:rsidR="003F07C5" w:rsidRPr="00BA5461">
        <w:rPr>
          <w:lang w:val="en-GB"/>
        </w:rPr>
        <w:t>, public health</w:t>
      </w:r>
      <w:r w:rsidR="0054618A" w:rsidRPr="00BA5461">
        <w:rPr>
          <w:lang w:val="en-GB"/>
        </w:rPr>
        <w:t xml:space="preserve"> and foreign investment approvals as </w:t>
      </w:r>
      <w:r w:rsidR="00A80D18" w:rsidRPr="00BA5461">
        <w:rPr>
          <w:lang w:val="en-GB"/>
        </w:rPr>
        <w:t>appropriate</w:t>
      </w:r>
      <w:r w:rsidR="0096088C" w:rsidRPr="00BA5461">
        <w:rPr>
          <w:lang w:val="en-GB"/>
        </w:rPr>
        <w:t>, with links to the associated documentation where publicly available.</w:t>
      </w:r>
      <w:r w:rsidR="002C01C8" w:rsidRPr="00BA5461">
        <w:rPr>
          <w:lang w:val="en-GB"/>
        </w:rPr>
        <w:t xml:space="preserve"> The d</w:t>
      </w:r>
      <w:r w:rsidR="00E979C7" w:rsidRPr="00BA5461">
        <w:rPr>
          <w:lang w:val="en-GB"/>
        </w:rPr>
        <w:t xml:space="preserve">ocumentation should be made available to the Independent Assurance Providers, </w:t>
      </w:r>
      <w:r w:rsidR="00697A62" w:rsidRPr="00BA5461">
        <w:rPr>
          <w:lang w:val="en-GB"/>
        </w:rPr>
        <w:t xml:space="preserve">with appropriate caveats and safeguards to protect </w:t>
      </w:r>
      <w:r w:rsidR="001D2489" w:rsidRPr="00BA5461">
        <w:rPr>
          <w:lang w:val="en-GB"/>
        </w:rPr>
        <w:t>personal and commercially sensitive information.</w:t>
      </w:r>
      <w:r w:rsidR="002C01C8" w:rsidRPr="00BA5461">
        <w:rPr>
          <w:lang w:val="en-GB"/>
        </w:rPr>
        <w:t xml:space="preserve"> </w:t>
      </w:r>
    </w:p>
    <w:p w14:paraId="531BBA57" w14:textId="6B7B0AE0" w:rsidR="0088064F" w:rsidRPr="00BA5461" w:rsidRDefault="00973EB2" w:rsidP="00D20C1A">
      <w:pPr>
        <w:pStyle w:val="Heading1"/>
        <w:ind w:left="2552" w:hanging="2552"/>
        <w:rPr>
          <w:lang w:val="en-GB"/>
        </w:rPr>
      </w:pPr>
      <w:bookmarkStart w:id="9" w:name="_Toc94641813"/>
      <w:r w:rsidRPr="00BA5461">
        <w:rPr>
          <w:lang w:val="en-GB"/>
        </w:rPr>
        <w:t xml:space="preserve">Requirement </w:t>
      </w:r>
      <w:r w:rsidR="0088064F" w:rsidRPr="00BA5461">
        <w:rPr>
          <w:lang w:val="en-GB"/>
        </w:rPr>
        <w:t>3</w:t>
      </w:r>
      <w:r w:rsidR="0088064F" w:rsidRPr="00BA5461">
        <w:rPr>
          <w:lang w:val="en-GB"/>
        </w:rPr>
        <w:tab/>
      </w:r>
      <w:r w:rsidR="003905BF" w:rsidRPr="00BA5461">
        <w:rPr>
          <w:lang w:val="en-GB"/>
        </w:rPr>
        <w:t>Project siting and design</w:t>
      </w:r>
      <w:bookmarkEnd w:id="9"/>
    </w:p>
    <w:p w14:paraId="75F33363" w14:textId="48B5C31C" w:rsidR="001402DC" w:rsidRPr="00BA5461" w:rsidRDefault="0076557E" w:rsidP="001402DC">
      <w:pPr>
        <w:spacing w:before="240" w:after="240"/>
        <w:rPr>
          <w:lang w:val="en-GB"/>
        </w:rPr>
      </w:pPr>
      <w:r w:rsidRPr="00BA5461">
        <w:rPr>
          <w:lang w:val="en-GB"/>
        </w:rPr>
        <w:t xml:space="preserve">The objective of this provision is to demonstrate that the </w:t>
      </w:r>
      <w:r w:rsidR="001402DC" w:rsidRPr="00BA5461">
        <w:rPr>
          <w:lang w:val="en-GB"/>
        </w:rPr>
        <w:t xml:space="preserve">siting and design </w:t>
      </w:r>
      <w:r w:rsidR="00FF3304" w:rsidRPr="00BA5461">
        <w:rPr>
          <w:lang w:val="en-GB"/>
        </w:rPr>
        <w:t>of the project has been</w:t>
      </w:r>
      <w:r w:rsidR="001402DC" w:rsidRPr="00BA5461">
        <w:rPr>
          <w:lang w:val="en-GB"/>
        </w:rPr>
        <w:t xml:space="preserve"> optimised </w:t>
      </w:r>
      <w:proofErr w:type="gramStart"/>
      <w:r w:rsidR="001402DC" w:rsidRPr="00BA5461">
        <w:rPr>
          <w:lang w:val="en-GB"/>
        </w:rPr>
        <w:t>as a result of</w:t>
      </w:r>
      <w:proofErr w:type="gramEnd"/>
      <w:r w:rsidR="001402DC" w:rsidRPr="00BA5461">
        <w:rPr>
          <w:lang w:val="en-GB"/>
        </w:rPr>
        <w:t xml:space="preserve"> an iterative and consultative process that </w:t>
      </w:r>
      <w:r w:rsidR="00FF3304" w:rsidRPr="00BA5461">
        <w:rPr>
          <w:lang w:val="en-GB"/>
        </w:rPr>
        <w:t xml:space="preserve">addresses the most significant </w:t>
      </w:r>
      <w:r w:rsidR="001402DC" w:rsidRPr="00BA5461">
        <w:rPr>
          <w:lang w:val="en-GB"/>
        </w:rPr>
        <w:t>technical, economic, financial, environmental and social considerations.</w:t>
      </w:r>
    </w:p>
    <w:p w14:paraId="134A641C" w14:textId="733365C1" w:rsidR="00B71803" w:rsidRPr="00BA5461" w:rsidRDefault="003905BF" w:rsidP="00954036">
      <w:pPr>
        <w:spacing w:before="240" w:after="240"/>
        <w:rPr>
          <w:lang w:val="en-GB"/>
        </w:rPr>
      </w:pPr>
      <w:r w:rsidRPr="00BA5461">
        <w:rPr>
          <w:lang w:val="en-GB"/>
        </w:rPr>
        <w:lastRenderedPageBreak/>
        <w:t xml:space="preserve">GH2 accreditation and certification </w:t>
      </w:r>
      <w:r w:rsidRPr="00BA5461">
        <w:rPr>
          <w:u w:val="single"/>
          <w:lang w:val="en-GB"/>
        </w:rPr>
        <w:t>requires</w:t>
      </w:r>
      <w:r w:rsidRPr="00BA5461">
        <w:rPr>
          <w:lang w:val="en-GB"/>
        </w:rPr>
        <w:t xml:space="preserve"> a publicly accessible </w:t>
      </w:r>
      <w:r w:rsidR="005B1A10" w:rsidRPr="00BA5461">
        <w:rPr>
          <w:lang w:val="en-GB"/>
        </w:rPr>
        <w:t xml:space="preserve">evaluation of </w:t>
      </w:r>
      <w:r w:rsidRPr="00BA5461">
        <w:rPr>
          <w:lang w:val="en-GB"/>
        </w:rPr>
        <w:t xml:space="preserve">the </w:t>
      </w:r>
      <w:r w:rsidR="005B1A10" w:rsidRPr="00BA5461">
        <w:rPr>
          <w:lang w:val="en-GB"/>
        </w:rPr>
        <w:t>project siting and design options,</w:t>
      </w:r>
      <w:r w:rsidRPr="00BA5461">
        <w:rPr>
          <w:lang w:val="en-GB"/>
        </w:rPr>
        <w:t xml:space="preserve"> </w:t>
      </w:r>
      <w:r w:rsidR="005B1A10" w:rsidRPr="00BA5461">
        <w:rPr>
          <w:lang w:val="en-GB"/>
        </w:rPr>
        <w:t xml:space="preserve">including the </w:t>
      </w:r>
      <w:r w:rsidR="00C2090C" w:rsidRPr="00BA5461">
        <w:rPr>
          <w:lang w:val="en-GB"/>
        </w:rPr>
        <w:t xml:space="preserve">renewable electricity and water sources, hydrogen production facilities, </w:t>
      </w:r>
      <w:r w:rsidR="005B1A10" w:rsidRPr="00BA5461">
        <w:rPr>
          <w:lang w:val="en-GB"/>
        </w:rPr>
        <w:t xml:space="preserve">and associated </w:t>
      </w:r>
      <w:r w:rsidR="00C2090C" w:rsidRPr="00BA5461">
        <w:rPr>
          <w:lang w:val="en-GB"/>
        </w:rPr>
        <w:t xml:space="preserve">storage and transportation </w:t>
      </w:r>
      <w:r w:rsidR="005B1A10" w:rsidRPr="00BA5461">
        <w:rPr>
          <w:lang w:val="en-GB"/>
        </w:rPr>
        <w:t>infrastructure</w:t>
      </w:r>
      <w:r w:rsidR="005046EB" w:rsidRPr="00BA5461">
        <w:rPr>
          <w:lang w:val="en-GB"/>
        </w:rPr>
        <w:t xml:space="preserve"> with appropriate attention to sensitive and protected areas</w:t>
      </w:r>
      <w:r w:rsidR="005B1A10" w:rsidRPr="00BA5461">
        <w:rPr>
          <w:lang w:val="en-GB"/>
        </w:rPr>
        <w:t xml:space="preserve">. </w:t>
      </w:r>
    </w:p>
    <w:p w14:paraId="6B90358B" w14:textId="627DF532" w:rsidR="00F43508" w:rsidRPr="00BA5461" w:rsidRDefault="00973EB2" w:rsidP="0096088C">
      <w:pPr>
        <w:pStyle w:val="Heading1"/>
        <w:ind w:left="2552" w:hanging="2552"/>
        <w:rPr>
          <w:lang w:val="en-GB"/>
        </w:rPr>
      </w:pPr>
      <w:bookmarkStart w:id="10" w:name="_Toc94641816"/>
      <w:r w:rsidRPr="00BA5461">
        <w:rPr>
          <w:lang w:val="en-GB"/>
        </w:rPr>
        <w:t xml:space="preserve">Requirement </w:t>
      </w:r>
      <w:r w:rsidR="0026035A" w:rsidRPr="00BA5461">
        <w:rPr>
          <w:lang w:val="en-GB"/>
        </w:rPr>
        <w:t>4</w:t>
      </w:r>
      <w:r w:rsidR="001D6B62" w:rsidRPr="00BA5461">
        <w:rPr>
          <w:lang w:val="en-GB"/>
        </w:rPr>
        <w:tab/>
      </w:r>
      <w:r w:rsidR="00401DDA" w:rsidRPr="00BA5461">
        <w:rPr>
          <w:lang w:val="en-GB"/>
        </w:rPr>
        <w:t>Social impact</w:t>
      </w:r>
      <w:bookmarkEnd w:id="10"/>
    </w:p>
    <w:p w14:paraId="5D24A75F" w14:textId="01C38CEB" w:rsidR="00CA4475" w:rsidRPr="00BA5461" w:rsidRDefault="00CA4475" w:rsidP="00CA4475">
      <w:pPr>
        <w:spacing w:before="240" w:after="240"/>
        <w:rPr>
          <w:lang w:val="en-GB"/>
        </w:rPr>
      </w:pPr>
      <w:bookmarkStart w:id="11" w:name="_Toc94641817"/>
      <w:r w:rsidRPr="00BA5461">
        <w:rPr>
          <w:lang w:val="en-GB"/>
        </w:rPr>
        <w:t xml:space="preserve">International best practice highlights the importance of integrated assessments to identify: (1) the social impacts, risks, and opportunities of projects; (2) effective community engagement through disclosure of project-related information and consultation with local communities on matters that directly affect them; and (3) the project </w:t>
      </w:r>
      <w:r w:rsidR="00AE5713" w:rsidRPr="00BA5461">
        <w:rPr>
          <w:lang w:val="en-GB"/>
        </w:rPr>
        <w:t>operator</w:t>
      </w:r>
      <w:r w:rsidRPr="00BA5461">
        <w:rPr>
          <w:lang w:val="en-GB"/>
        </w:rPr>
        <w:t>’s management of environmental and social performance throughout the life of the project.</w:t>
      </w:r>
      <w:r w:rsidRPr="00BA5461">
        <w:rPr>
          <w:rStyle w:val="FootnoteReference"/>
          <w:lang w:val="en-GB"/>
        </w:rPr>
        <w:footnoteReference w:id="8"/>
      </w:r>
    </w:p>
    <w:p w14:paraId="37C42916" w14:textId="4D0102AE" w:rsidR="00B61968" w:rsidRPr="00BA5461" w:rsidRDefault="00DE30D7" w:rsidP="00B61968">
      <w:pPr>
        <w:spacing w:before="240" w:after="240"/>
        <w:rPr>
          <w:lang w:val="en-GB"/>
        </w:rPr>
      </w:pPr>
      <w:r w:rsidRPr="00BA5461">
        <w:rPr>
          <w:lang w:val="en-GB"/>
        </w:rPr>
        <w:t xml:space="preserve">The </w:t>
      </w:r>
      <w:r w:rsidRPr="00BA5461">
        <w:rPr>
          <w:u w:val="single"/>
          <w:lang w:val="en-GB"/>
        </w:rPr>
        <w:t>expectation</w:t>
      </w:r>
      <w:r w:rsidRPr="00BA5461">
        <w:rPr>
          <w:lang w:val="en-GB"/>
        </w:rPr>
        <w:t xml:space="preserve"> is that project ha</w:t>
      </w:r>
      <w:r w:rsidR="00CA4475" w:rsidRPr="00BA5461">
        <w:rPr>
          <w:lang w:val="en-GB"/>
        </w:rPr>
        <w:t>ve</w:t>
      </w:r>
      <w:r w:rsidRPr="00BA5461">
        <w:rPr>
          <w:lang w:val="en-GB"/>
        </w:rPr>
        <w:t xml:space="preserve"> been subject to</w:t>
      </w:r>
      <w:r w:rsidR="00B61968" w:rsidRPr="00BA5461">
        <w:rPr>
          <w:lang w:val="en-GB"/>
        </w:rPr>
        <w:t xml:space="preserve"> social impact assessment (SIA) </w:t>
      </w:r>
      <w:r w:rsidR="001D69B2" w:rsidRPr="00BA5461">
        <w:rPr>
          <w:lang w:val="en-GB"/>
        </w:rPr>
        <w:t>or other similar</w:t>
      </w:r>
      <w:r w:rsidR="0089590D" w:rsidRPr="00BA5461">
        <w:rPr>
          <w:lang w:val="en-GB"/>
        </w:rPr>
        <w:t xml:space="preserve"> assessment</w:t>
      </w:r>
      <w:r w:rsidR="00624171" w:rsidRPr="00BA5461">
        <w:rPr>
          <w:lang w:val="en-GB"/>
        </w:rPr>
        <w:t xml:space="preserve"> </w:t>
      </w:r>
      <w:r w:rsidR="00B61968" w:rsidRPr="00BA5461">
        <w:rPr>
          <w:lang w:val="en-GB"/>
        </w:rPr>
        <w:t>to help understand the potential</w:t>
      </w:r>
      <w:r w:rsidR="00624171" w:rsidRPr="00BA5461">
        <w:rPr>
          <w:lang w:val="en-GB"/>
        </w:rPr>
        <w:t xml:space="preserve"> </w:t>
      </w:r>
      <w:r w:rsidR="00B61968" w:rsidRPr="00BA5461">
        <w:rPr>
          <w:lang w:val="en-GB"/>
        </w:rPr>
        <w:t>impacts that a proposed project may have on a community.</w:t>
      </w:r>
      <w:r w:rsidR="00624171" w:rsidRPr="00BA5461">
        <w:rPr>
          <w:lang w:val="en-GB"/>
        </w:rPr>
        <w:t xml:space="preserve"> This should include a </w:t>
      </w:r>
      <w:r w:rsidR="00B61968" w:rsidRPr="00BA5461">
        <w:rPr>
          <w:lang w:val="en-GB"/>
        </w:rPr>
        <w:t>baseline study of the community’s existing social environment</w:t>
      </w:r>
      <w:r w:rsidR="00EA091D" w:rsidRPr="00BA5461">
        <w:rPr>
          <w:lang w:val="en-GB"/>
        </w:rPr>
        <w:t xml:space="preserve">. </w:t>
      </w:r>
      <w:r w:rsidR="00B61968" w:rsidRPr="00BA5461">
        <w:rPr>
          <w:lang w:val="en-GB"/>
        </w:rPr>
        <w:t>The baseline information is then used to</w:t>
      </w:r>
      <w:r w:rsidR="00EA091D" w:rsidRPr="00BA5461">
        <w:rPr>
          <w:lang w:val="en-GB"/>
        </w:rPr>
        <w:t xml:space="preserve"> </w:t>
      </w:r>
      <w:r w:rsidR="00B61968" w:rsidRPr="00BA5461">
        <w:rPr>
          <w:lang w:val="en-GB"/>
        </w:rPr>
        <w:t>help predict any social impacts the community may face, or changes that may occur to the existing social</w:t>
      </w:r>
      <w:r w:rsidR="00EA091D" w:rsidRPr="00BA5461">
        <w:rPr>
          <w:lang w:val="en-GB"/>
        </w:rPr>
        <w:t xml:space="preserve"> </w:t>
      </w:r>
      <w:r w:rsidR="00B61968" w:rsidRPr="00BA5461">
        <w:rPr>
          <w:lang w:val="en-GB"/>
        </w:rPr>
        <w:t>environment, by introducing the proposed project</w:t>
      </w:r>
      <w:r w:rsidR="00EA091D" w:rsidRPr="00BA5461">
        <w:rPr>
          <w:lang w:val="en-GB"/>
        </w:rPr>
        <w:t xml:space="preserve">. The </w:t>
      </w:r>
      <w:r w:rsidR="00EA091D" w:rsidRPr="00BA5461">
        <w:rPr>
          <w:u w:val="single"/>
          <w:lang w:val="en-GB"/>
        </w:rPr>
        <w:t>expectation</w:t>
      </w:r>
      <w:r w:rsidR="00EA091D" w:rsidRPr="00BA5461">
        <w:rPr>
          <w:lang w:val="en-GB"/>
        </w:rPr>
        <w:t xml:space="preserve"> is that </w:t>
      </w:r>
      <w:r w:rsidR="003A0299" w:rsidRPr="00BA5461">
        <w:rPr>
          <w:lang w:val="en-GB"/>
        </w:rPr>
        <w:t>these assessments have been carried out in</w:t>
      </w:r>
      <w:r w:rsidR="00EA091D" w:rsidRPr="00BA5461">
        <w:rPr>
          <w:lang w:val="en-GB"/>
        </w:rPr>
        <w:t xml:space="preserve"> accordance with applicable regulatory requirements, including appropriate stakeholder consultation and publication of the results.</w:t>
      </w:r>
      <w:r w:rsidR="0055300B" w:rsidRPr="00BA5461">
        <w:rPr>
          <w:lang w:val="en-GB"/>
        </w:rPr>
        <w:t xml:space="preserve"> It is </w:t>
      </w:r>
      <w:r w:rsidR="0055300B" w:rsidRPr="00BA5461">
        <w:rPr>
          <w:u w:val="single"/>
          <w:lang w:val="en-GB"/>
        </w:rPr>
        <w:t xml:space="preserve">expected </w:t>
      </w:r>
      <w:r w:rsidR="0055300B" w:rsidRPr="00BA5461">
        <w:rPr>
          <w:lang w:val="en-GB"/>
        </w:rPr>
        <w:t>that the finding from th</w:t>
      </w:r>
      <w:r w:rsidR="00B4030F" w:rsidRPr="00BA5461">
        <w:rPr>
          <w:lang w:val="en-GB"/>
        </w:rPr>
        <w:t xml:space="preserve">is work have been incorporated into a </w:t>
      </w:r>
      <w:r w:rsidR="00F05770" w:rsidRPr="00BA5461">
        <w:rPr>
          <w:lang w:val="en-GB"/>
        </w:rPr>
        <w:t xml:space="preserve">community engagement plan (or similar) </w:t>
      </w:r>
      <w:r w:rsidR="00F42E52" w:rsidRPr="00BA5461">
        <w:rPr>
          <w:lang w:val="en-GB"/>
        </w:rPr>
        <w:t xml:space="preserve">that </w:t>
      </w:r>
      <w:r w:rsidR="00B5465E" w:rsidRPr="00BA5461">
        <w:rPr>
          <w:lang w:val="en-GB"/>
        </w:rPr>
        <w:t xml:space="preserve">addresses opportunities to </w:t>
      </w:r>
      <w:r w:rsidR="00F05770" w:rsidRPr="00BA5461">
        <w:rPr>
          <w:lang w:val="en-GB"/>
        </w:rPr>
        <w:t>create and contribute to social value in the communit</w:t>
      </w:r>
      <w:r w:rsidR="00B31A2E" w:rsidRPr="00BA5461">
        <w:rPr>
          <w:lang w:val="en-GB"/>
        </w:rPr>
        <w:t xml:space="preserve">ies that host the project. </w:t>
      </w:r>
    </w:p>
    <w:p w14:paraId="5A10296A" w14:textId="4A3BF6B7" w:rsidR="00B84B79" w:rsidRPr="00BA5461" w:rsidRDefault="00973EB2" w:rsidP="00B84B79">
      <w:pPr>
        <w:pStyle w:val="Heading2"/>
        <w:ind w:left="2552" w:hanging="2552"/>
        <w:rPr>
          <w:lang w:val="en-GB"/>
        </w:rPr>
      </w:pPr>
      <w:r w:rsidRPr="00BA5461">
        <w:rPr>
          <w:lang w:val="en-GB"/>
        </w:rPr>
        <w:t xml:space="preserve">Requirement </w:t>
      </w:r>
      <w:r w:rsidR="0026035A" w:rsidRPr="00BA5461">
        <w:rPr>
          <w:lang w:val="en-GB"/>
        </w:rPr>
        <w:t>4</w:t>
      </w:r>
      <w:r w:rsidR="00401DDA" w:rsidRPr="00BA5461">
        <w:rPr>
          <w:lang w:val="en-GB"/>
        </w:rPr>
        <w:t>A</w:t>
      </w:r>
      <w:r w:rsidR="00401DDA" w:rsidRPr="00BA5461">
        <w:rPr>
          <w:lang w:val="en-GB"/>
        </w:rPr>
        <w:tab/>
      </w:r>
      <w:r w:rsidR="00B84B79" w:rsidRPr="00BA5461">
        <w:rPr>
          <w:lang w:val="en-GB"/>
        </w:rPr>
        <w:t>Affected communities and livelihood</w:t>
      </w:r>
      <w:bookmarkEnd w:id="11"/>
    </w:p>
    <w:p w14:paraId="6741D26E" w14:textId="7B66E483" w:rsidR="0065673B" w:rsidRPr="00BA5461" w:rsidRDefault="00CB1E75" w:rsidP="0065673B">
      <w:pPr>
        <w:spacing w:before="240" w:after="240"/>
        <w:rPr>
          <w:lang w:val="en-GB"/>
        </w:rPr>
      </w:pPr>
      <w:bookmarkStart w:id="12" w:name="_Toc94641818"/>
      <w:r w:rsidRPr="00BA5461">
        <w:rPr>
          <w:lang w:val="en-GB"/>
        </w:rPr>
        <w:t xml:space="preserve">The objective of this provision </w:t>
      </w:r>
      <w:r w:rsidR="0065673B" w:rsidRPr="00BA5461">
        <w:rPr>
          <w:lang w:val="en-GB"/>
        </w:rPr>
        <w:t xml:space="preserve">that the livelihoods and living standards </w:t>
      </w:r>
      <w:r w:rsidR="00AA00DC" w:rsidRPr="00BA5461">
        <w:rPr>
          <w:lang w:val="en-GB"/>
        </w:rPr>
        <w:t xml:space="preserve">are improved </w:t>
      </w:r>
      <w:r w:rsidR="004036B4" w:rsidRPr="00BA5461">
        <w:rPr>
          <w:lang w:val="en-GB"/>
        </w:rPr>
        <w:t xml:space="preserve">for </w:t>
      </w:r>
      <w:r w:rsidR="0065673B" w:rsidRPr="00BA5461">
        <w:rPr>
          <w:lang w:val="en-GB"/>
        </w:rPr>
        <w:t>project-affected communities</w:t>
      </w:r>
      <w:r w:rsidR="004036B4" w:rsidRPr="00BA5461">
        <w:rPr>
          <w:lang w:val="en-GB"/>
        </w:rPr>
        <w:t xml:space="preserve"> and that </w:t>
      </w:r>
      <w:r w:rsidR="0065673B" w:rsidRPr="00BA5461">
        <w:rPr>
          <w:lang w:val="en-GB"/>
        </w:rPr>
        <w:t>life, property and community assets and resources are protected from the consequences</w:t>
      </w:r>
      <w:r w:rsidR="004036B4" w:rsidRPr="00BA5461">
        <w:rPr>
          <w:lang w:val="en-GB"/>
        </w:rPr>
        <w:t xml:space="preserve"> of the project. </w:t>
      </w:r>
    </w:p>
    <w:p w14:paraId="336A0D41" w14:textId="64222E32" w:rsidR="004F54D1" w:rsidRPr="00BA5461" w:rsidRDefault="004036B4" w:rsidP="004F54D1">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i</w:t>
      </w:r>
      <w:r w:rsidR="004F54D1" w:rsidRPr="00BA5461">
        <w:rPr>
          <w:lang w:val="en-GB"/>
        </w:rPr>
        <w:t>ssues relating to</w:t>
      </w:r>
      <w:r w:rsidRPr="00BA5461">
        <w:rPr>
          <w:lang w:val="en-GB"/>
        </w:rPr>
        <w:t xml:space="preserve"> </w:t>
      </w:r>
      <w:r w:rsidR="004F54D1" w:rsidRPr="00BA5461">
        <w:rPr>
          <w:lang w:val="en-GB"/>
        </w:rPr>
        <w:t>project affected communities have been identified</w:t>
      </w:r>
      <w:r w:rsidRPr="00BA5461">
        <w:rPr>
          <w:lang w:val="en-GB"/>
        </w:rPr>
        <w:t xml:space="preserve"> </w:t>
      </w:r>
      <w:r w:rsidR="004F54D1" w:rsidRPr="00BA5461">
        <w:rPr>
          <w:lang w:val="en-GB"/>
        </w:rPr>
        <w:t>through an assessment process utilising local</w:t>
      </w:r>
      <w:r w:rsidRPr="00BA5461">
        <w:rPr>
          <w:lang w:val="en-GB"/>
        </w:rPr>
        <w:t xml:space="preserve"> </w:t>
      </w:r>
      <w:r w:rsidR="004F54D1" w:rsidRPr="00BA5461">
        <w:rPr>
          <w:lang w:val="en-GB"/>
        </w:rPr>
        <w:t>knowledge; and monitoring of project impacts</w:t>
      </w:r>
      <w:r w:rsidRPr="00BA5461">
        <w:rPr>
          <w:lang w:val="en-GB"/>
        </w:rPr>
        <w:t xml:space="preserve"> </w:t>
      </w:r>
      <w:r w:rsidR="004F54D1" w:rsidRPr="00BA5461">
        <w:rPr>
          <w:lang w:val="en-GB"/>
        </w:rPr>
        <w:t>and effectiveness of management measures is</w:t>
      </w:r>
      <w:r w:rsidRPr="00BA5461">
        <w:rPr>
          <w:lang w:val="en-GB"/>
        </w:rPr>
        <w:t xml:space="preserve"> </w:t>
      </w:r>
      <w:r w:rsidR="004F54D1" w:rsidRPr="00BA5461">
        <w:rPr>
          <w:lang w:val="en-GB"/>
        </w:rPr>
        <w:t>being undertaken during project implementation</w:t>
      </w:r>
      <w:r w:rsidRPr="00BA5461">
        <w:rPr>
          <w:lang w:val="en-GB"/>
        </w:rPr>
        <w:t xml:space="preserve"> </w:t>
      </w:r>
      <w:r w:rsidR="004F54D1" w:rsidRPr="00BA5461">
        <w:rPr>
          <w:lang w:val="en-GB"/>
        </w:rPr>
        <w:t>appropriate to the identified issues.</w:t>
      </w:r>
    </w:p>
    <w:p w14:paraId="040C32C5" w14:textId="1C842BC3" w:rsidR="004F54D1" w:rsidRPr="00BA5461" w:rsidRDefault="004036B4" w:rsidP="004F54D1">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p</w:t>
      </w:r>
      <w:r w:rsidR="004F54D1" w:rsidRPr="00BA5461">
        <w:rPr>
          <w:lang w:val="en-GB"/>
        </w:rPr>
        <w:t>ublic health issues relevant to</w:t>
      </w:r>
      <w:r w:rsidRPr="00BA5461">
        <w:rPr>
          <w:lang w:val="en-GB"/>
        </w:rPr>
        <w:t xml:space="preserve"> </w:t>
      </w:r>
      <w:r w:rsidR="004F54D1" w:rsidRPr="00BA5461">
        <w:rPr>
          <w:lang w:val="en-GB"/>
        </w:rPr>
        <w:t>project implementation and operation have been</w:t>
      </w:r>
      <w:r w:rsidRPr="00BA5461">
        <w:rPr>
          <w:lang w:val="en-GB"/>
        </w:rPr>
        <w:t xml:space="preserve"> </w:t>
      </w:r>
      <w:r w:rsidR="004F54D1" w:rsidRPr="00BA5461">
        <w:rPr>
          <w:lang w:val="en-GB"/>
        </w:rPr>
        <w:t>identified through an assessment process utilising</w:t>
      </w:r>
      <w:r w:rsidRPr="00BA5461">
        <w:rPr>
          <w:lang w:val="en-GB"/>
        </w:rPr>
        <w:t xml:space="preserve"> </w:t>
      </w:r>
      <w:r w:rsidR="004F54D1" w:rsidRPr="00BA5461">
        <w:rPr>
          <w:lang w:val="en-GB"/>
        </w:rPr>
        <w:t>appropriate expertise; and monitoring is being</w:t>
      </w:r>
      <w:r w:rsidRPr="00BA5461">
        <w:rPr>
          <w:lang w:val="en-GB"/>
        </w:rPr>
        <w:t xml:space="preserve"> </w:t>
      </w:r>
      <w:r w:rsidR="004F54D1" w:rsidRPr="00BA5461">
        <w:rPr>
          <w:lang w:val="en-GB"/>
        </w:rPr>
        <w:t>undertaken during the project implementation</w:t>
      </w:r>
      <w:r w:rsidRPr="00BA5461">
        <w:rPr>
          <w:lang w:val="en-GB"/>
        </w:rPr>
        <w:t xml:space="preserve"> </w:t>
      </w:r>
      <w:r w:rsidR="004F54D1" w:rsidRPr="00BA5461">
        <w:rPr>
          <w:lang w:val="en-GB"/>
        </w:rPr>
        <w:t>stage appropriate to the identified issues.</w:t>
      </w:r>
    </w:p>
    <w:p w14:paraId="008FCE24" w14:textId="77777777" w:rsidR="00B37916" w:rsidRPr="00BA5461" w:rsidRDefault="00B37916" w:rsidP="00B37916">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project operators committed to identifying, </w:t>
      </w:r>
      <w:proofErr w:type="gramStart"/>
      <w:r w:rsidRPr="00BA5461">
        <w:rPr>
          <w:lang w:val="en-GB"/>
        </w:rPr>
        <w:t>assessing</w:t>
      </w:r>
      <w:proofErr w:type="gramEnd"/>
      <w:r w:rsidRPr="00BA5461">
        <w:rPr>
          <w:lang w:val="en-GB"/>
        </w:rPr>
        <w:t xml:space="preserve"> and mitigating human rights impacts, providing access to remedy through effective grievance mechanisms, and ensuring continuous improvement. </w:t>
      </w:r>
    </w:p>
    <w:p w14:paraId="711697A2" w14:textId="59750697" w:rsidR="008860CF" w:rsidRPr="00BA5461" w:rsidRDefault="005920B6" w:rsidP="004F54D1">
      <w:pPr>
        <w:spacing w:before="240" w:after="240"/>
        <w:rPr>
          <w:lang w:val="en-GB"/>
        </w:rPr>
      </w:pPr>
      <w:r w:rsidRPr="00BA5461">
        <w:rPr>
          <w:lang w:val="en-GB"/>
        </w:rPr>
        <w:lastRenderedPageBreak/>
        <w:t>The Green Hydrogen Standard requires that green hydrogen project operators assess the project’s development impact and contribution towards the SDGs</w:t>
      </w:r>
      <w:r w:rsidR="00813C37" w:rsidRPr="00BA5461">
        <w:rPr>
          <w:lang w:val="en-GB"/>
        </w:rPr>
        <w:t>.</w:t>
      </w:r>
      <w:r w:rsidRPr="00BA5461">
        <w:rPr>
          <w:lang w:val="en-GB"/>
        </w:rPr>
        <w:t xml:space="preserve"> </w:t>
      </w:r>
      <w:r w:rsidR="004F54D1" w:rsidRPr="00BA5461">
        <w:rPr>
          <w:lang w:val="en-GB"/>
        </w:rPr>
        <w:t>In the case that commitments to</w:t>
      </w:r>
      <w:r w:rsidR="004036B4" w:rsidRPr="00BA5461">
        <w:rPr>
          <w:lang w:val="en-GB"/>
        </w:rPr>
        <w:t xml:space="preserve"> </w:t>
      </w:r>
      <w:r w:rsidR="004F54D1" w:rsidRPr="00BA5461">
        <w:rPr>
          <w:lang w:val="en-GB"/>
        </w:rPr>
        <w:t>additional benefits or benefit sharing have been</w:t>
      </w:r>
      <w:r w:rsidR="004036B4" w:rsidRPr="00BA5461">
        <w:rPr>
          <w:lang w:val="en-GB"/>
        </w:rPr>
        <w:t xml:space="preserve"> </w:t>
      </w:r>
      <w:r w:rsidR="004F54D1" w:rsidRPr="00BA5461">
        <w:rPr>
          <w:lang w:val="en-GB"/>
        </w:rPr>
        <w:t xml:space="preserve">made, </w:t>
      </w:r>
      <w:r w:rsidR="0009370C" w:rsidRPr="00BA5461">
        <w:rPr>
          <w:lang w:val="en-GB"/>
        </w:rPr>
        <w:t xml:space="preserve">the expectation is that the project operator </w:t>
      </w:r>
      <w:r w:rsidR="00505423" w:rsidRPr="00BA5461">
        <w:rPr>
          <w:lang w:val="en-GB"/>
        </w:rPr>
        <w:t xml:space="preserve">has established </w:t>
      </w:r>
      <w:r w:rsidR="00310950" w:rsidRPr="00BA5461">
        <w:rPr>
          <w:lang w:val="en-GB"/>
        </w:rPr>
        <w:t xml:space="preserve">a system </w:t>
      </w:r>
      <w:r w:rsidR="0009370C" w:rsidRPr="00BA5461">
        <w:rPr>
          <w:lang w:val="en-GB"/>
        </w:rPr>
        <w:t>to monitor</w:t>
      </w:r>
      <w:r w:rsidR="00505423" w:rsidRPr="00BA5461">
        <w:rPr>
          <w:lang w:val="en-GB"/>
        </w:rPr>
        <w:t xml:space="preserve"> and report on the </w:t>
      </w:r>
      <w:r w:rsidR="004F54D1" w:rsidRPr="00BA5461">
        <w:rPr>
          <w:lang w:val="en-GB"/>
        </w:rPr>
        <w:t>delivery</w:t>
      </w:r>
      <w:r w:rsidR="004036B4" w:rsidRPr="00BA5461">
        <w:rPr>
          <w:lang w:val="en-GB"/>
        </w:rPr>
        <w:t xml:space="preserve"> </w:t>
      </w:r>
      <w:r w:rsidR="004F54D1" w:rsidRPr="00BA5461">
        <w:rPr>
          <w:lang w:val="en-GB"/>
        </w:rPr>
        <w:t>of these commitments.</w:t>
      </w:r>
    </w:p>
    <w:p w14:paraId="6E098A5F" w14:textId="5A5DE3D1" w:rsidR="00401DDA" w:rsidRPr="00BA5461" w:rsidRDefault="00973EB2" w:rsidP="00401DDA">
      <w:pPr>
        <w:pStyle w:val="Heading2"/>
        <w:ind w:left="2552" w:hanging="2552"/>
        <w:rPr>
          <w:lang w:val="en-GB"/>
        </w:rPr>
      </w:pPr>
      <w:r w:rsidRPr="00BA5461">
        <w:rPr>
          <w:lang w:val="en-GB"/>
        </w:rPr>
        <w:t>Requirement</w:t>
      </w:r>
      <w:r w:rsidRPr="00BA5461" w:rsidDel="00973EB2">
        <w:rPr>
          <w:lang w:val="en-GB"/>
        </w:rPr>
        <w:t xml:space="preserve"> </w:t>
      </w:r>
      <w:r w:rsidR="0026035A" w:rsidRPr="00BA5461">
        <w:rPr>
          <w:lang w:val="en-GB"/>
        </w:rPr>
        <w:t>4</w:t>
      </w:r>
      <w:r w:rsidR="009B52AC" w:rsidRPr="00BA5461">
        <w:rPr>
          <w:lang w:val="en-GB"/>
        </w:rPr>
        <w:t>B</w:t>
      </w:r>
      <w:r w:rsidR="00401DDA" w:rsidRPr="00BA5461">
        <w:rPr>
          <w:lang w:val="en-GB"/>
        </w:rPr>
        <w:tab/>
      </w:r>
      <w:r w:rsidR="00B84B79" w:rsidRPr="00BA5461">
        <w:rPr>
          <w:lang w:val="en-GB"/>
        </w:rPr>
        <w:t>Resettlement</w:t>
      </w:r>
      <w:bookmarkEnd w:id="12"/>
    </w:p>
    <w:p w14:paraId="488E721C" w14:textId="59842766" w:rsidR="00F802A1" w:rsidRPr="00BA5461" w:rsidRDefault="00F802A1" w:rsidP="00F802A1">
      <w:pPr>
        <w:spacing w:before="240" w:after="240"/>
        <w:rPr>
          <w:lang w:val="en-GB"/>
        </w:rPr>
      </w:pPr>
      <w:bookmarkStart w:id="13" w:name="_Toc94641819"/>
      <w:r w:rsidRPr="00BA5461">
        <w:rPr>
          <w:lang w:val="en-GB"/>
        </w:rPr>
        <w:t>The objective of this provision that the dignity and human rights of those physically displaced are respected; that these matters are dealt with in a fair and equitable manner; and livelihoods and standards of living for resettles and host communities are improved.</w:t>
      </w:r>
    </w:p>
    <w:p w14:paraId="545E7DA6" w14:textId="4305F99D" w:rsidR="00836972" w:rsidRPr="00BA5461" w:rsidRDefault="00141D33" w:rsidP="00836972">
      <w:pPr>
        <w:spacing w:before="240" w:after="240"/>
        <w:rPr>
          <w:lang w:val="en-GB"/>
        </w:rPr>
      </w:pPr>
      <w:r w:rsidRPr="00BA5461">
        <w:rPr>
          <w:lang w:val="en-GB"/>
        </w:rPr>
        <w:t xml:space="preserve">When companies seek to acquire land for their business activities, it can lead to relocation and loss of shelter or livelihoods for communities or individual households. </w:t>
      </w:r>
      <w:r w:rsidR="00414298" w:rsidRPr="00BA5461">
        <w:rPr>
          <w:lang w:val="en-GB"/>
        </w:rPr>
        <w:t>“</w:t>
      </w:r>
      <w:r w:rsidR="00836972" w:rsidRPr="00BA5461">
        <w:rPr>
          <w:lang w:val="en-GB"/>
        </w:rPr>
        <w:t>Involuntary resettlement</w:t>
      </w:r>
      <w:r w:rsidR="00414298" w:rsidRPr="00BA5461">
        <w:rPr>
          <w:lang w:val="en-GB"/>
        </w:rPr>
        <w:t>”</w:t>
      </w:r>
      <w:r w:rsidR="00836972" w:rsidRPr="00BA5461">
        <w:rPr>
          <w:lang w:val="en-GB"/>
        </w:rPr>
        <w:t xml:space="preserve"> refers both to physical displacement (relocation or loss of shelter) and to economic</w:t>
      </w:r>
      <w:r w:rsidR="00414298" w:rsidRPr="00BA5461">
        <w:rPr>
          <w:lang w:val="en-GB"/>
        </w:rPr>
        <w:t xml:space="preserve"> </w:t>
      </w:r>
      <w:r w:rsidR="00836972" w:rsidRPr="00BA5461">
        <w:rPr>
          <w:lang w:val="en-GB"/>
        </w:rPr>
        <w:t>displacement (loss of assets or access to assets that leads to loss of income sources or other means</w:t>
      </w:r>
      <w:r w:rsidR="00414298" w:rsidRPr="00BA5461">
        <w:rPr>
          <w:lang w:val="en-GB"/>
        </w:rPr>
        <w:t xml:space="preserve"> </w:t>
      </w:r>
      <w:r w:rsidR="00836972" w:rsidRPr="00BA5461">
        <w:rPr>
          <w:lang w:val="en-GB"/>
        </w:rPr>
        <w:t xml:space="preserve">of livelihood) </w:t>
      </w:r>
      <w:proofErr w:type="gramStart"/>
      <w:r w:rsidR="00836972" w:rsidRPr="00BA5461">
        <w:rPr>
          <w:lang w:val="en-GB"/>
        </w:rPr>
        <w:t>as a result of</w:t>
      </w:r>
      <w:proofErr w:type="gramEnd"/>
      <w:r w:rsidR="00836972" w:rsidRPr="00BA5461">
        <w:rPr>
          <w:lang w:val="en-GB"/>
        </w:rPr>
        <w:t xml:space="preserve"> project-related land acquisition and/or restrictions on land use.</w:t>
      </w:r>
      <w:r w:rsidR="004A5E58" w:rsidRPr="00BA5461">
        <w:rPr>
          <w:lang w:val="en-GB"/>
        </w:rPr>
        <w:t xml:space="preserve"> </w:t>
      </w:r>
      <w:r w:rsidR="00836972" w:rsidRPr="00BA5461">
        <w:rPr>
          <w:lang w:val="en-GB"/>
        </w:rPr>
        <w:t>Resettlement is considered involuntary when affected persons or communities do not have the right</w:t>
      </w:r>
      <w:r w:rsidR="004A5E58" w:rsidRPr="00BA5461">
        <w:rPr>
          <w:lang w:val="en-GB"/>
        </w:rPr>
        <w:t xml:space="preserve"> </w:t>
      </w:r>
      <w:r w:rsidR="00836972" w:rsidRPr="00BA5461">
        <w:rPr>
          <w:lang w:val="en-GB"/>
        </w:rPr>
        <w:t>to refuse land acquisition or restrictions on land use that result in physical or economic displacement.</w:t>
      </w:r>
      <w:r w:rsidR="004A5E58" w:rsidRPr="00BA5461">
        <w:rPr>
          <w:rStyle w:val="FootnoteReference"/>
          <w:lang w:val="en-GB"/>
        </w:rPr>
        <w:footnoteReference w:id="9"/>
      </w:r>
    </w:p>
    <w:p w14:paraId="2F9EB66B" w14:textId="2F164DEF" w:rsidR="000A56CE" w:rsidRPr="00BA5461" w:rsidRDefault="004F6951" w:rsidP="005E286F">
      <w:pPr>
        <w:spacing w:before="240" w:after="240"/>
        <w:rPr>
          <w:lang w:val="en-GB"/>
        </w:rPr>
      </w:pPr>
      <w:r w:rsidRPr="00BA5461">
        <w:rPr>
          <w:lang w:val="en-GB"/>
        </w:rPr>
        <w:t xml:space="preserve">In accordance with </w:t>
      </w:r>
      <w:r w:rsidR="005E286F" w:rsidRPr="00BA5461">
        <w:rPr>
          <w:lang w:val="en-GB"/>
        </w:rPr>
        <w:t xml:space="preserve">IFC PS5, GH2 accreditation and certification </w:t>
      </w:r>
      <w:r w:rsidR="005E286F" w:rsidRPr="00BA5461">
        <w:rPr>
          <w:u w:val="single"/>
          <w:lang w:val="en-GB"/>
        </w:rPr>
        <w:t>requires</w:t>
      </w:r>
      <w:r w:rsidR="005E286F" w:rsidRPr="00BA5461">
        <w:rPr>
          <w:lang w:val="en-GB"/>
        </w:rPr>
        <w:t xml:space="preserve"> that project </w:t>
      </w:r>
      <w:r w:rsidR="00AE5713" w:rsidRPr="00BA5461">
        <w:rPr>
          <w:lang w:val="en-GB"/>
        </w:rPr>
        <w:t>operator</w:t>
      </w:r>
      <w:r w:rsidR="005E286F" w:rsidRPr="00BA5461">
        <w:rPr>
          <w:lang w:val="en-GB"/>
        </w:rPr>
        <w:t xml:space="preserve">s </w:t>
      </w:r>
      <w:r w:rsidR="000A56CE" w:rsidRPr="00BA5461">
        <w:rPr>
          <w:lang w:val="en-GB"/>
        </w:rPr>
        <w:t xml:space="preserve">avoid involuntary resettlement wherever possible and to </w:t>
      </w:r>
      <w:r w:rsidR="00BA5461" w:rsidRPr="00BA5461">
        <w:rPr>
          <w:lang w:val="en-GB"/>
        </w:rPr>
        <w:t xml:space="preserve">minimise </w:t>
      </w:r>
      <w:r w:rsidR="000A56CE" w:rsidRPr="00BA5461">
        <w:rPr>
          <w:lang w:val="en-GB"/>
        </w:rPr>
        <w:t>its impact on those displaced through mitigation measures such as fair compensation and improvements to and living conditions. Active community engagement throughout the process is essential.</w:t>
      </w:r>
    </w:p>
    <w:p w14:paraId="60F6369C" w14:textId="29AC8D77" w:rsidR="00401DDA" w:rsidRPr="00BA5461" w:rsidRDefault="00973EB2" w:rsidP="00401DDA">
      <w:pPr>
        <w:pStyle w:val="Heading2"/>
        <w:ind w:left="2552" w:hanging="2552"/>
        <w:rPr>
          <w:lang w:val="en-GB"/>
        </w:rPr>
      </w:pPr>
      <w:r w:rsidRPr="00BA5461">
        <w:rPr>
          <w:lang w:val="en-GB"/>
        </w:rPr>
        <w:t>Requirement</w:t>
      </w:r>
      <w:r w:rsidRPr="00BA5461" w:rsidDel="00973EB2">
        <w:rPr>
          <w:lang w:val="en-GB"/>
        </w:rPr>
        <w:t xml:space="preserve"> </w:t>
      </w:r>
      <w:r w:rsidR="0026035A" w:rsidRPr="00BA5461">
        <w:rPr>
          <w:lang w:val="en-GB"/>
        </w:rPr>
        <w:t>4</w:t>
      </w:r>
      <w:r w:rsidR="009B52AC" w:rsidRPr="00BA5461">
        <w:rPr>
          <w:lang w:val="en-GB"/>
        </w:rPr>
        <w:t>C</w:t>
      </w:r>
      <w:r w:rsidR="00401DDA" w:rsidRPr="00BA5461">
        <w:rPr>
          <w:lang w:val="en-GB"/>
        </w:rPr>
        <w:tab/>
      </w:r>
      <w:r w:rsidR="00B84B79" w:rsidRPr="00BA5461">
        <w:rPr>
          <w:lang w:val="en-GB"/>
        </w:rPr>
        <w:t>Indigenous Peoples</w:t>
      </w:r>
      <w:bookmarkEnd w:id="13"/>
    </w:p>
    <w:p w14:paraId="3AAFFBF5" w14:textId="4CB14187" w:rsidR="009536F1" w:rsidRPr="00BA5461" w:rsidRDefault="009536F1" w:rsidP="001459BA">
      <w:pPr>
        <w:spacing w:before="240" w:after="240"/>
        <w:rPr>
          <w:lang w:val="en-GB"/>
        </w:rPr>
      </w:pPr>
      <w:bookmarkStart w:id="14" w:name="_Toc94641820"/>
      <w:r w:rsidRPr="00BA5461">
        <w:rPr>
          <w:lang w:val="en-GB"/>
        </w:rPr>
        <w:t xml:space="preserve">The objective of this provision is </w:t>
      </w:r>
      <w:r w:rsidR="001459BA" w:rsidRPr="00BA5461">
        <w:rPr>
          <w:lang w:val="en-GB"/>
        </w:rPr>
        <w:t xml:space="preserve">to ensure that the project respects the dignity, human rights, aspirations, culture, lands, knowledge, </w:t>
      </w:r>
      <w:proofErr w:type="gramStart"/>
      <w:r w:rsidR="001459BA" w:rsidRPr="00BA5461">
        <w:rPr>
          <w:lang w:val="en-GB"/>
        </w:rPr>
        <w:t>practices</w:t>
      </w:r>
      <w:proofErr w:type="gramEnd"/>
      <w:r w:rsidR="001459BA" w:rsidRPr="00BA5461">
        <w:rPr>
          <w:lang w:val="en-GB"/>
        </w:rPr>
        <w:t xml:space="preserve"> and natural resource-based livelihoods of Indigenous Peoples in an ongoing manner throughout the project life.</w:t>
      </w:r>
    </w:p>
    <w:p w14:paraId="6EAC4CE3" w14:textId="77777777" w:rsidR="00C129BF" w:rsidRPr="00BA5461" w:rsidRDefault="009536F1" w:rsidP="008860CF">
      <w:pPr>
        <w:spacing w:before="240" w:after="240"/>
        <w:rPr>
          <w:lang w:val="en-GB"/>
        </w:rPr>
      </w:pPr>
      <w:r w:rsidRPr="00BA5461">
        <w:rPr>
          <w:lang w:val="en-GB"/>
        </w:rPr>
        <w:t>Indigenous peoples may be particularly vulnerable to the adverse impacts associated with project development, including risk of impoverishment and loss of identity, culture, and natural resource-based livelihoods</w:t>
      </w:r>
      <w:r w:rsidR="001459BA" w:rsidRPr="00BA5461">
        <w:rPr>
          <w:rStyle w:val="FootnoteReference"/>
          <w:lang w:val="en-GB"/>
        </w:rPr>
        <w:footnoteReference w:id="10"/>
      </w:r>
      <w:r w:rsidRPr="00BA5461">
        <w:rPr>
          <w:lang w:val="en-GB"/>
        </w:rPr>
        <w:t xml:space="preserve">. </w:t>
      </w:r>
    </w:p>
    <w:p w14:paraId="043B19DA" w14:textId="67456648" w:rsidR="00307FC3" w:rsidRPr="00BA5461" w:rsidRDefault="00C129BF" w:rsidP="008860CF">
      <w:pPr>
        <w:spacing w:before="240" w:after="240"/>
        <w:rPr>
          <w:lang w:val="en-GB"/>
        </w:rPr>
      </w:pPr>
      <w:r w:rsidRPr="00BA5461">
        <w:rPr>
          <w:lang w:val="en-GB"/>
        </w:rPr>
        <w:t>In accordance with IFC PS</w:t>
      </w:r>
      <w:r w:rsidR="00307FC3" w:rsidRPr="00BA5461">
        <w:rPr>
          <w:lang w:val="en-GB"/>
        </w:rPr>
        <w:t>7</w:t>
      </w:r>
      <w:r w:rsidRPr="00BA5461">
        <w:rPr>
          <w:lang w:val="en-GB"/>
        </w:rPr>
        <w:t xml:space="preserve">, GH2 accreditation and certification </w:t>
      </w:r>
      <w:r w:rsidRPr="00BA5461">
        <w:rPr>
          <w:u w:val="single"/>
          <w:lang w:val="en-GB"/>
        </w:rPr>
        <w:t>requires</w:t>
      </w:r>
      <w:r w:rsidRPr="00BA5461">
        <w:rPr>
          <w:lang w:val="en-GB"/>
        </w:rPr>
        <w:t xml:space="preserve"> </w:t>
      </w:r>
      <w:r w:rsidR="009536F1" w:rsidRPr="00BA5461">
        <w:rPr>
          <w:lang w:val="en-GB"/>
        </w:rPr>
        <w:t>that business activities minimi</w:t>
      </w:r>
      <w:r w:rsidR="002B178A">
        <w:rPr>
          <w:lang w:val="en-GB"/>
        </w:rPr>
        <w:t>s</w:t>
      </w:r>
      <w:r w:rsidR="009536F1" w:rsidRPr="00BA5461">
        <w:rPr>
          <w:lang w:val="en-GB"/>
        </w:rPr>
        <w:t xml:space="preserve">e negative impacts, foster respect for human rights, </w:t>
      </w:r>
      <w:proofErr w:type="gramStart"/>
      <w:r w:rsidR="009536F1" w:rsidRPr="00BA5461">
        <w:rPr>
          <w:lang w:val="en-GB"/>
        </w:rPr>
        <w:t>dignity</w:t>
      </w:r>
      <w:proofErr w:type="gramEnd"/>
      <w:r w:rsidR="009536F1" w:rsidRPr="00BA5461">
        <w:rPr>
          <w:lang w:val="en-GB"/>
        </w:rPr>
        <w:t xml:space="preserve"> and culture of indigenous populations, and promote development benefits in culturally appropriate ways. </w:t>
      </w:r>
    </w:p>
    <w:p w14:paraId="361E8C64" w14:textId="3E87B9C1" w:rsidR="00083398" w:rsidRPr="00BA5461" w:rsidRDefault="00307FC3" w:rsidP="008860CF">
      <w:pPr>
        <w:spacing w:before="240" w:after="240"/>
        <w:rPr>
          <w:lang w:val="en-GB"/>
        </w:rPr>
      </w:pPr>
      <w:r w:rsidRPr="00BA5461">
        <w:rPr>
          <w:lang w:val="en-GB"/>
        </w:rPr>
        <w:lastRenderedPageBreak/>
        <w:t xml:space="preserve">GH2 accreditation and certification </w:t>
      </w:r>
      <w:r w:rsidRPr="00BA5461">
        <w:rPr>
          <w:u w:val="single"/>
          <w:lang w:val="en-GB"/>
        </w:rPr>
        <w:t>requires</w:t>
      </w:r>
      <w:r w:rsidRPr="00BA5461">
        <w:rPr>
          <w:lang w:val="en-GB"/>
        </w:rPr>
        <w:t xml:space="preserve"> i</w:t>
      </w:r>
      <w:r w:rsidR="009536F1" w:rsidRPr="00BA5461">
        <w:rPr>
          <w:lang w:val="en-GB"/>
        </w:rPr>
        <w:t xml:space="preserve">nformed consultation and participation with </w:t>
      </w:r>
      <w:r w:rsidRPr="00BA5461">
        <w:rPr>
          <w:lang w:val="en-GB"/>
        </w:rPr>
        <w:t xml:space="preserve">Indigenous peoples </w:t>
      </w:r>
      <w:r w:rsidR="009536F1" w:rsidRPr="00BA5461">
        <w:rPr>
          <w:lang w:val="en-GB"/>
        </w:rPr>
        <w:t>throughout the project process</w:t>
      </w:r>
      <w:r w:rsidR="00B37916" w:rsidRPr="00BA5461">
        <w:rPr>
          <w:lang w:val="en-GB"/>
        </w:rPr>
        <w:t xml:space="preserve">. The </w:t>
      </w:r>
      <w:r w:rsidR="00B37916" w:rsidRPr="007D23B7">
        <w:rPr>
          <w:u w:val="single"/>
          <w:lang w:val="en-GB"/>
        </w:rPr>
        <w:t>expectation</w:t>
      </w:r>
      <w:r w:rsidR="00B37916" w:rsidRPr="00BA5461">
        <w:rPr>
          <w:lang w:val="en-GB"/>
        </w:rPr>
        <w:t xml:space="preserve"> is that project operators adhere to the principle of Free, Prior and Informed Consent</w:t>
      </w:r>
    </w:p>
    <w:p w14:paraId="09E2E1F4" w14:textId="4DCC455F" w:rsidR="00401DDA" w:rsidRPr="00BA5461" w:rsidRDefault="00973EB2" w:rsidP="00401DDA">
      <w:pPr>
        <w:pStyle w:val="Heading2"/>
        <w:ind w:left="2552" w:hanging="2552"/>
        <w:rPr>
          <w:lang w:val="en-GB"/>
        </w:rPr>
      </w:pPr>
      <w:r w:rsidRPr="00BA5461">
        <w:rPr>
          <w:lang w:val="en-GB"/>
        </w:rPr>
        <w:t>Requirement</w:t>
      </w:r>
      <w:r w:rsidRPr="00BA5461" w:rsidDel="00973EB2">
        <w:rPr>
          <w:lang w:val="en-GB"/>
        </w:rPr>
        <w:t xml:space="preserve"> </w:t>
      </w:r>
      <w:r w:rsidR="0026035A" w:rsidRPr="00BA5461">
        <w:rPr>
          <w:lang w:val="en-GB"/>
        </w:rPr>
        <w:t>4</w:t>
      </w:r>
      <w:r w:rsidR="009B52AC" w:rsidRPr="00BA5461">
        <w:rPr>
          <w:lang w:val="en-GB"/>
        </w:rPr>
        <w:t>D</w:t>
      </w:r>
      <w:r w:rsidR="00401DDA" w:rsidRPr="00BA5461">
        <w:rPr>
          <w:lang w:val="en-GB"/>
        </w:rPr>
        <w:tab/>
      </w:r>
      <w:r w:rsidR="009B52AC" w:rsidRPr="00BA5461">
        <w:rPr>
          <w:lang w:val="en-GB"/>
        </w:rPr>
        <w:t>Labour and working conditions</w:t>
      </w:r>
      <w:bookmarkEnd w:id="14"/>
    </w:p>
    <w:p w14:paraId="71DC2CAF" w14:textId="6E555440" w:rsidR="007F1EE6" w:rsidRPr="00BA5461" w:rsidRDefault="007F1EE6" w:rsidP="008860CF">
      <w:pPr>
        <w:spacing w:before="240" w:after="240"/>
        <w:rPr>
          <w:lang w:val="en-GB"/>
        </w:rPr>
      </w:pPr>
      <w:bookmarkStart w:id="15" w:name="_Toc94641821"/>
      <w:r w:rsidRPr="00BA5461">
        <w:rPr>
          <w:lang w:val="en-GB"/>
        </w:rPr>
        <w:t xml:space="preserve">The objective of this provision is to ensure that </w:t>
      </w:r>
      <w:r w:rsidR="00F57E42" w:rsidRPr="00BA5461">
        <w:rPr>
          <w:lang w:val="en-GB"/>
        </w:rPr>
        <w:t>workers are treated fairly and are protected</w:t>
      </w:r>
      <w:r w:rsidRPr="00BA5461">
        <w:rPr>
          <w:lang w:val="en-GB"/>
        </w:rPr>
        <w:t xml:space="preserve"> </w:t>
      </w:r>
    </w:p>
    <w:p w14:paraId="70C35453" w14:textId="77A5A1C2" w:rsidR="009B336B" w:rsidRPr="00BA5461" w:rsidRDefault="009B336B" w:rsidP="009B336B">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project </w:t>
      </w:r>
      <w:r w:rsidR="00AE5713" w:rsidRPr="00BA5461">
        <w:rPr>
          <w:lang w:val="en-GB"/>
        </w:rPr>
        <w:t>operator</w:t>
      </w:r>
      <w:r w:rsidRPr="00BA5461">
        <w:rPr>
          <w:lang w:val="en-GB"/>
        </w:rPr>
        <w:t xml:space="preserve">s </w:t>
      </w:r>
      <w:r w:rsidR="008A0EA2" w:rsidRPr="00BA5461">
        <w:rPr>
          <w:lang w:val="en-GB"/>
        </w:rPr>
        <w:t xml:space="preserve">undertake an </w:t>
      </w:r>
      <w:r w:rsidRPr="00BA5461">
        <w:rPr>
          <w:lang w:val="en-GB"/>
        </w:rPr>
        <w:t>assessment of human</w:t>
      </w:r>
      <w:r w:rsidR="008A0EA2" w:rsidRPr="00BA5461">
        <w:rPr>
          <w:lang w:val="en-GB"/>
        </w:rPr>
        <w:t xml:space="preserve"> </w:t>
      </w:r>
      <w:r w:rsidRPr="00BA5461">
        <w:rPr>
          <w:lang w:val="en-GB"/>
        </w:rPr>
        <w:t>resource and labour management requirements for</w:t>
      </w:r>
      <w:r w:rsidR="008A0EA2" w:rsidRPr="00BA5461">
        <w:rPr>
          <w:lang w:val="en-GB"/>
        </w:rPr>
        <w:t xml:space="preserve"> </w:t>
      </w:r>
      <w:r w:rsidRPr="00BA5461">
        <w:rPr>
          <w:lang w:val="en-GB"/>
        </w:rPr>
        <w:t>the project, including project occupational health</w:t>
      </w:r>
      <w:r w:rsidR="008A0EA2" w:rsidRPr="00BA5461">
        <w:rPr>
          <w:lang w:val="en-GB"/>
        </w:rPr>
        <w:t xml:space="preserve"> </w:t>
      </w:r>
      <w:r w:rsidRPr="00BA5461">
        <w:rPr>
          <w:lang w:val="en-GB"/>
        </w:rPr>
        <w:t>and safety (OH&amp;S) issues, risks, and management</w:t>
      </w:r>
      <w:r w:rsidR="008A0EA2" w:rsidRPr="00BA5461">
        <w:rPr>
          <w:lang w:val="en-GB"/>
        </w:rPr>
        <w:t xml:space="preserve"> </w:t>
      </w:r>
      <w:r w:rsidRPr="00BA5461">
        <w:rPr>
          <w:lang w:val="en-GB"/>
        </w:rPr>
        <w:t>measures.</w:t>
      </w:r>
    </w:p>
    <w:p w14:paraId="641C8D68" w14:textId="730B39A6" w:rsidR="009B336B" w:rsidRPr="00BA5461" w:rsidRDefault="008A0EA2" w:rsidP="009B336B">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w:t>
      </w:r>
      <w:r w:rsidR="0059502F" w:rsidRPr="00BA5461">
        <w:rPr>
          <w:lang w:val="en-GB"/>
        </w:rPr>
        <w:t>occupational</w:t>
      </w:r>
      <w:r w:rsidR="009B336B" w:rsidRPr="00BA5461">
        <w:rPr>
          <w:lang w:val="en-GB"/>
        </w:rPr>
        <w:t xml:space="preserve"> health</w:t>
      </w:r>
      <w:r w:rsidR="0059502F" w:rsidRPr="00BA5461">
        <w:rPr>
          <w:lang w:val="en-GB"/>
        </w:rPr>
        <w:t xml:space="preserve"> </w:t>
      </w:r>
      <w:r w:rsidR="009B336B" w:rsidRPr="00BA5461">
        <w:rPr>
          <w:lang w:val="en-GB"/>
        </w:rPr>
        <w:t>and safety (OH&amp;S) issues and risks; and processes</w:t>
      </w:r>
      <w:r w:rsidR="0059502F" w:rsidRPr="00BA5461">
        <w:rPr>
          <w:lang w:val="en-GB"/>
        </w:rPr>
        <w:t xml:space="preserve"> </w:t>
      </w:r>
      <w:r w:rsidR="009B336B" w:rsidRPr="00BA5461">
        <w:rPr>
          <w:lang w:val="en-GB"/>
        </w:rPr>
        <w:t>are in place to identify any emerging or ongoing</w:t>
      </w:r>
      <w:r w:rsidR="0059502F" w:rsidRPr="00BA5461">
        <w:rPr>
          <w:lang w:val="en-GB"/>
        </w:rPr>
        <w:t xml:space="preserve"> </w:t>
      </w:r>
      <w:r w:rsidR="009B336B" w:rsidRPr="00BA5461">
        <w:rPr>
          <w:lang w:val="en-GB"/>
        </w:rPr>
        <w:t>issues, and to monitor if management measures are</w:t>
      </w:r>
      <w:r w:rsidR="0059502F" w:rsidRPr="00BA5461">
        <w:rPr>
          <w:lang w:val="en-GB"/>
        </w:rPr>
        <w:t xml:space="preserve"> </w:t>
      </w:r>
      <w:r w:rsidR="009B336B" w:rsidRPr="00BA5461">
        <w:rPr>
          <w:lang w:val="en-GB"/>
        </w:rPr>
        <w:t>effective</w:t>
      </w:r>
      <w:r w:rsidR="0059502F" w:rsidRPr="00BA5461">
        <w:rPr>
          <w:lang w:val="en-GB"/>
        </w:rPr>
        <w:t>.</w:t>
      </w:r>
    </w:p>
    <w:p w14:paraId="6FC45CC1" w14:textId="5B3A5A54" w:rsidR="00401DDA" w:rsidRPr="00BA5461" w:rsidRDefault="00973EB2" w:rsidP="00401DDA">
      <w:pPr>
        <w:pStyle w:val="Heading2"/>
        <w:ind w:left="2552" w:hanging="2552"/>
        <w:rPr>
          <w:lang w:val="en-GB"/>
        </w:rPr>
      </w:pPr>
      <w:r w:rsidRPr="00BA5461">
        <w:rPr>
          <w:lang w:val="en-GB"/>
        </w:rPr>
        <w:t>Requirement</w:t>
      </w:r>
      <w:r w:rsidRPr="00BA5461" w:rsidDel="00973EB2">
        <w:rPr>
          <w:lang w:val="en-GB"/>
        </w:rPr>
        <w:t xml:space="preserve"> </w:t>
      </w:r>
      <w:r w:rsidR="0026035A" w:rsidRPr="00BA5461">
        <w:rPr>
          <w:lang w:val="en-GB"/>
        </w:rPr>
        <w:t>4</w:t>
      </w:r>
      <w:r w:rsidR="009B52AC" w:rsidRPr="00BA5461">
        <w:rPr>
          <w:lang w:val="en-GB"/>
        </w:rPr>
        <w:t>E</w:t>
      </w:r>
      <w:r w:rsidR="00401DDA" w:rsidRPr="00BA5461">
        <w:rPr>
          <w:lang w:val="en-GB"/>
        </w:rPr>
        <w:tab/>
      </w:r>
      <w:r w:rsidR="009B52AC" w:rsidRPr="00BA5461">
        <w:rPr>
          <w:lang w:val="en-GB"/>
        </w:rPr>
        <w:t>Slavery, child and forced labour</w:t>
      </w:r>
      <w:bookmarkEnd w:id="15"/>
    </w:p>
    <w:p w14:paraId="7DE660ED" w14:textId="0A2155C4" w:rsidR="00611A4A" w:rsidRPr="00BA5461" w:rsidRDefault="007F1EE6" w:rsidP="00611A4A">
      <w:pPr>
        <w:spacing w:before="240" w:after="240"/>
        <w:rPr>
          <w:lang w:val="en-GB"/>
        </w:rPr>
      </w:pPr>
      <w:bookmarkStart w:id="16" w:name="_Toc94641822"/>
      <w:r w:rsidRPr="00BA5461">
        <w:rPr>
          <w:lang w:val="en-GB"/>
        </w:rPr>
        <w:t xml:space="preserve">The objective of this provision is to ensure that the project </w:t>
      </w:r>
      <w:r w:rsidR="00611A4A" w:rsidRPr="00BA5461">
        <w:rPr>
          <w:lang w:val="en-GB"/>
        </w:rPr>
        <w:t xml:space="preserve">protect workers, including vulnerable categories of workers such as children, migrant workers, workers engaged by third parties, and workers in the client’s supply chain. </w:t>
      </w:r>
    </w:p>
    <w:p w14:paraId="48DFD92D" w14:textId="0F4167F4" w:rsidR="00785728" w:rsidRPr="00BA5461" w:rsidRDefault="00611A4A" w:rsidP="00785728">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project </w:t>
      </w:r>
      <w:r w:rsidR="00AE5713" w:rsidRPr="00BA5461">
        <w:rPr>
          <w:lang w:val="en-GB"/>
        </w:rPr>
        <w:t>operator</w:t>
      </w:r>
      <w:r w:rsidR="00CC791A" w:rsidRPr="00BA5461">
        <w:rPr>
          <w:lang w:val="en-GB"/>
        </w:rPr>
        <w:t xml:space="preserve"> does not </w:t>
      </w:r>
      <w:r w:rsidR="00785728" w:rsidRPr="00BA5461">
        <w:rPr>
          <w:lang w:val="en-GB"/>
        </w:rPr>
        <w:t xml:space="preserve">employ children in any manner that is economically </w:t>
      </w:r>
      <w:proofErr w:type="gramStart"/>
      <w:r w:rsidR="00785728" w:rsidRPr="00BA5461">
        <w:rPr>
          <w:lang w:val="en-GB"/>
        </w:rPr>
        <w:t>exploitative, or</w:t>
      </w:r>
      <w:proofErr w:type="gramEnd"/>
      <w:r w:rsidR="00785728" w:rsidRPr="00BA5461">
        <w:rPr>
          <w:lang w:val="en-GB"/>
        </w:rPr>
        <w:t xml:space="preserve"> is likely to</w:t>
      </w:r>
      <w:r w:rsidR="00CC791A" w:rsidRPr="00BA5461">
        <w:rPr>
          <w:lang w:val="en-GB"/>
        </w:rPr>
        <w:t xml:space="preserve"> </w:t>
      </w:r>
      <w:r w:rsidR="00785728" w:rsidRPr="00BA5461">
        <w:rPr>
          <w:lang w:val="en-GB"/>
        </w:rPr>
        <w:t>be hazardous or to interfere with the child’s education, or to be harmful to the child’s health or</w:t>
      </w:r>
      <w:r w:rsidR="00CC791A" w:rsidRPr="00BA5461">
        <w:rPr>
          <w:lang w:val="en-GB"/>
        </w:rPr>
        <w:t xml:space="preserve"> </w:t>
      </w:r>
      <w:r w:rsidR="00785728" w:rsidRPr="00BA5461">
        <w:rPr>
          <w:lang w:val="en-GB"/>
        </w:rPr>
        <w:t>physical, mental, spiritual, moral, or social development.</w:t>
      </w:r>
      <w:r w:rsidR="002D0981" w:rsidRPr="00BA5461">
        <w:rPr>
          <w:rStyle w:val="FootnoteReference"/>
          <w:lang w:val="en-GB"/>
        </w:rPr>
        <w:footnoteReference w:id="11"/>
      </w:r>
      <w:r w:rsidR="00785728" w:rsidRPr="00BA5461">
        <w:rPr>
          <w:lang w:val="en-GB"/>
        </w:rPr>
        <w:t xml:space="preserve"> </w:t>
      </w:r>
    </w:p>
    <w:p w14:paraId="6B7DD294" w14:textId="5B3DB602" w:rsidR="00A263ED" w:rsidRPr="00BA5461" w:rsidRDefault="00A263ED" w:rsidP="00A263ED">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project proponent does not employ forced </w:t>
      </w:r>
      <w:r w:rsidR="00CA17DE" w:rsidRPr="00BA5461">
        <w:rPr>
          <w:lang w:val="en-GB"/>
        </w:rPr>
        <w:t>labour</w:t>
      </w:r>
      <w:r w:rsidRPr="00BA5461">
        <w:rPr>
          <w:lang w:val="en-GB"/>
        </w:rPr>
        <w:t xml:space="preserve">, which consists of any work or service not voluntarily performed that is exacted from an individual under threat of force or penalty. This covers any kind of involuntary or compulsory </w:t>
      </w:r>
      <w:r w:rsidR="00CA17DE" w:rsidRPr="00BA5461">
        <w:rPr>
          <w:lang w:val="en-GB"/>
        </w:rPr>
        <w:t>labour</w:t>
      </w:r>
      <w:r w:rsidRPr="00BA5461">
        <w:rPr>
          <w:lang w:val="en-GB"/>
        </w:rPr>
        <w:t xml:space="preserve">, such as indentured </w:t>
      </w:r>
      <w:r w:rsidR="00CA17DE" w:rsidRPr="00BA5461">
        <w:rPr>
          <w:lang w:val="en-GB"/>
        </w:rPr>
        <w:t>labour</w:t>
      </w:r>
      <w:r w:rsidRPr="00BA5461">
        <w:rPr>
          <w:lang w:val="en-GB"/>
        </w:rPr>
        <w:t xml:space="preserve">, bonded </w:t>
      </w:r>
      <w:r w:rsidR="00CA17DE" w:rsidRPr="00BA5461">
        <w:rPr>
          <w:lang w:val="en-GB"/>
        </w:rPr>
        <w:t>labour</w:t>
      </w:r>
      <w:r w:rsidRPr="00BA5461">
        <w:rPr>
          <w:lang w:val="en-GB"/>
        </w:rPr>
        <w:t xml:space="preserve">, or similar </w:t>
      </w:r>
      <w:r w:rsidR="00CA17DE" w:rsidRPr="00BA5461">
        <w:rPr>
          <w:lang w:val="en-GB"/>
        </w:rPr>
        <w:t>labour</w:t>
      </w:r>
      <w:r w:rsidRPr="00BA5461">
        <w:rPr>
          <w:lang w:val="en-GB"/>
        </w:rPr>
        <w:t xml:space="preserve">-contracting arrangements. The project </w:t>
      </w:r>
      <w:r w:rsidR="00AE5713" w:rsidRPr="00BA5461">
        <w:rPr>
          <w:lang w:val="en-GB"/>
        </w:rPr>
        <w:t>operator</w:t>
      </w:r>
      <w:r w:rsidRPr="00BA5461">
        <w:rPr>
          <w:lang w:val="en-GB"/>
        </w:rPr>
        <w:t xml:space="preserve"> will not employ trafficked persons.</w:t>
      </w:r>
    </w:p>
    <w:p w14:paraId="04324985" w14:textId="697C57AC" w:rsidR="00853D4E" w:rsidRPr="00BA5461" w:rsidRDefault="00853D4E" w:rsidP="00785728">
      <w:pPr>
        <w:spacing w:before="240" w:after="240"/>
        <w:rPr>
          <w:lang w:val="en-GB"/>
        </w:rPr>
      </w:pPr>
      <w:r w:rsidRPr="00BA5461">
        <w:rPr>
          <w:lang w:val="en-GB"/>
        </w:rPr>
        <w:t xml:space="preserve">GH2 accreditation and certification </w:t>
      </w:r>
      <w:r w:rsidRPr="00BA5461">
        <w:rPr>
          <w:u w:val="single"/>
          <w:lang w:val="en-GB"/>
        </w:rPr>
        <w:t>expects</w:t>
      </w:r>
      <w:r w:rsidRPr="00BA5461">
        <w:rPr>
          <w:lang w:val="en-GB"/>
        </w:rPr>
        <w:t xml:space="preserve"> that project </w:t>
      </w:r>
      <w:r w:rsidR="00AE5713" w:rsidRPr="00BA5461">
        <w:rPr>
          <w:lang w:val="en-GB"/>
        </w:rPr>
        <w:t>operator</w:t>
      </w:r>
      <w:r w:rsidRPr="00BA5461">
        <w:rPr>
          <w:lang w:val="en-GB"/>
        </w:rPr>
        <w:t>s work in collaboration with their suppliers to eradicate modern slavery.</w:t>
      </w:r>
    </w:p>
    <w:p w14:paraId="067900BE" w14:textId="5FD75D06" w:rsidR="00F43508" w:rsidRPr="00BA5461" w:rsidRDefault="00973EB2" w:rsidP="0096088C">
      <w:pPr>
        <w:pStyle w:val="Heading1"/>
        <w:rPr>
          <w:lang w:val="en-GB"/>
        </w:rPr>
      </w:pPr>
      <w:r w:rsidRPr="00BA5461">
        <w:rPr>
          <w:lang w:val="en-GB"/>
        </w:rPr>
        <w:t xml:space="preserve">Requirement </w:t>
      </w:r>
      <w:r w:rsidR="0026035A" w:rsidRPr="00BA5461">
        <w:rPr>
          <w:lang w:val="en-GB"/>
        </w:rPr>
        <w:t>5</w:t>
      </w:r>
      <w:r w:rsidR="001D6B62" w:rsidRPr="00BA5461">
        <w:rPr>
          <w:lang w:val="en-GB"/>
        </w:rPr>
        <w:tab/>
      </w:r>
      <w:r w:rsidR="00F43508" w:rsidRPr="00BA5461">
        <w:rPr>
          <w:lang w:val="en-GB"/>
        </w:rPr>
        <w:t>Environmental impact</w:t>
      </w:r>
      <w:bookmarkEnd w:id="16"/>
    </w:p>
    <w:p w14:paraId="40A2C19A" w14:textId="450E2D4B" w:rsidR="007964F1" w:rsidRPr="00BA5461" w:rsidRDefault="007964F1" w:rsidP="007964F1">
      <w:pPr>
        <w:spacing w:before="240" w:after="240"/>
        <w:rPr>
          <w:lang w:val="en-GB"/>
        </w:rPr>
      </w:pPr>
      <w:bookmarkStart w:id="17" w:name="_Toc94641823"/>
      <w:r w:rsidRPr="00BA5461">
        <w:rPr>
          <w:lang w:val="en-GB"/>
        </w:rPr>
        <w:t xml:space="preserve">International best practice highlights the importance of integrated assessments to identify: (1) the environmental, risks, and opportunities of projects; (2) effective community engagement through disclosure of project-related information and consultation with local communities on matters that directly </w:t>
      </w:r>
      <w:r w:rsidRPr="00BA5461">
        <w:rPr>
          <w:lang w:val="en-GB"/>
        </w:rPr>
        <w:lastRenderedPageBreak/>
        <w:t xml:space="preserve">affect them; and (3) the project </w:t>
      </w:r>
      <w:r w:rsidR="00AE5713" w:rsidRPr="00BA5461">
        <w:rPr>
          <w:lang w:val="en-GB"/>
        </w:rPr>
        <w:t>operator</w:t>
      </w:r>
      <w:r w:rsidRPr="00BA5461">
        <w:rPr>
          <w:lang w:val="en-GB"/>
        </w:rPr>
        <w:t>’s management of environmental and social performance throughout the life of the project.</w:t>
      </w:r>
      <w:r w:rsidRPr="00BA5461">
        <w:rPr>
          <w:rStyle w:val="FootnoteReference"/>
          <w:lang w:val="en-GB"/>
        </w:rPr>
        <w:footnoteReference w:id="12"/>
      </w:r>
    </w:p>
    <w:p w14:paraId="565FF2FB" w14:textId="4BEC7E8C" w:rsidR="004E2824" w:rsidRPr="00BA5461" w:rsidRDefault="00E95CDE" w:rsidP="00E95CDE">
      <w:pPr>
        <w:spacing w:before="240" w:after="240"/>
        <w:rPr>
          <w:lang w:val="en-GB"/>
        </w:rPr>
      </w:pPr>
      <w:r w:rsidRPr="00BA5461">
        <w:rPr>
          <w:lang w:val="en-GB"/>
        </w:rPr>
        <w:t xml:space="preserve">The </w:t>
      </w:r>
      <w:r w:rsidRPr="00BA5461">
        <w:rPr>
          <w:u w:val="single"/>
          <w:lang w:val="en-GB"/>
        </w:rPr>
        <w:t>expectation</w:t>
      </w:r>
      <w:r w:rsidRPr="00BA5461">
        <w:rPr>
          <w:lang w:val="en-GB"/>
        </w:rPr>
        <w:t xml:space="preserve"> is that the</w:t>
      </w:r>
      <w:r w:rsidR="004E2824" w:rsidRPr="00BA5461">
        <w:rPr>
          <w:lang w:val="en-GB"/>
        </w:rPr>
        <w:t xml:space="preserve"> project has been subject to an environmental impact assessment, i.e., a rigorous process identifying, predicting, </w:t>
      </w:r>
      <w:proofErr w:type="gramStart"/>
      <w:r w:rsidR="004E2824" w:rsidRPr="00BA5461">
        <w:rPr>
          <w:lang w:val="en-GB"/>
        </w:rPr>
        <w:t>evaluating</w:t>
      </w:r>
      <w:proofErr w:type="gramEnd"/>
      <w:r w:rsidR="004E2824" w:rsidRPr="00BA5461">
        <w:rPr>
          <w:lang w:val="en-GB"/>
        </w:rPr>
        <w:t xml:space="preserve"> and mitigating the biophysical, social, and other relevant effects of the project in accordance with applicable regulatory requirements, including appropriate stakeholder consultation and publication of the results. It is also </w:t>
      </w:r>
      <w:r w:rsidR="004E2824" w:rsidRPr="00BA5461">
        <w:rPr>
          <w:u w:val="single"/>
          <w:lang w:val="en-GB"/>
        </w:rPr>
        <w:t>expected</w:t>
      </w:r>
      <w:r w:rsidR="004E2824" w:rsidRPr="00BA5461">
        <w:rPr>
          <w:lang w:val="en-GB"/>
        </w:rPr>
        <w:t xml:space="preserve"> that project </w:t>
      </w:r>
      <w:r w:rsidR="00AE5713" w:rsidRPr="00BA5461">
        <w:rPr>
          <w:lang w:val="en-GB"/>
        </w:rPr>
        <w:t>operator</w:t>
      </w:r>
      <w:r w:rsidR="004E2824" w:rsidRPr="00BA5461">
        <w:rPr>
          <w:lang w:val="en-GB"/>
        </w:rPr>
        <w:t xml:space="preserve"> has established </w:t>
      </w:r>
      <w:r w:rsidR="00515584" w:rsidRPr="00BA5461">
        <w:rPr>
          <w:lang w:val="en-GB"/>
        </w:rPr>
        <w:t>an environmental management plan</w:t>
      </w:r>
      <w:r w:rsidR="00322303" w:rsidRPr="00BA5461">
        <w:rPr>
          <w:lang w:val="en-GB"/>
        </w:rPr>
        <w:t xml:space="preserve"> to safeguard and improve environmental performance</w:t>
      </w:r>
      <w:r w:rsidR="003150D6" w:rsidRPr="00BA5461">
        <w:rPr>
          <w:lang w:val="en-GB"/>
        </w:rPr>
        <w:t>.</w:t>
      </w:r>
    </w:p>
    <w:p w14:paraId="6B1E3377" w14:textId="2EE734DF" w:rsidR="00F43508" w:rsidRPr="00BA5461" w:rsidRDefault="00973EB2" w:rsidP="0095172C">
      <w:pPr>
        <w:pStyle w:val="Heading2"/>
        <w:ind w:left="2552" w:hanging="2552"/>
        <w:rPr>
          <w:lang w:val="en-GB"/>
        </w:rPr>
      </w:pPr>
      <w:r w:rsidRPr="00BA5461">
        <w:rPr>
          <w:lang w:val="en-GB"/>
        </w:rPr>
        <w:t>Requirement</w:t>
      </w:r>
      <w:r w:rsidRPr="00BA5461" w:rsidDel="00973EB2">
        <w:rPr>
          <w:lang w:val="en-GB"/>
        </w:rPr>
        <w:t xml:space="preserve"> </w:t>
      </w:r>
      <w:r w:rsidR="0026035A" w:rsidRPr="00BA5461">
        <w:rPr>
          <w:lang w:val="en-GB"/>
        </w:rPr>
        <w:t>5</w:t>
      </w:r>
      <w:r w:rsidR="00F43508" w:rsidRPr="00BA5461">
        <w:rPr>
          <w:lang w:val="en-GB"/>
        </w:rPr>
        <w:t>A</w:t>
      </w:r>
      <w:r w:rsidR="00F43508" w:rsidRPr="00BA5461">
        <w:rPr>
          <w:lang w:val="en-GB"/>
        </w:rPr>
        <w:tab/>
      </w:r>
      <w:r w:rsidR="0095172C" w:rsidRPr="00BA5461">
        <w:rPr>
          <w:lang w:val="en-GB"/>
        </w:rPr>
        <w:t>Renewable energy sources</w:t>
      </w:r>
      <w:bookmarkEnd w:id="17"/>
    </w:p>
    <w:p w14:paraId="10E2E74C" w14:textId="3E5B897B" w:rsidR="0096088C" w:rsidRPr="00BA5461" w:rsidRDefault="0096088C" w:rsidP="0096088C">
      <w:pPr>
        <w:spacing w:before="240" w:after="240"/>
        <w:rPr>
          <w:lang w:val="en-GB"/>
        </w:rPr>
      </w:pPr>
      <w:bookmarkStart w:id="18" w:name="_Toc94641824"/>
      <w:r w:rsidRPr="00BA5461">
        <w:rPr>
          <w:lang w:val="en-GB"/>
        </w:rPr>
        <w:t xml:space="preserve">The objective of this provision is to demonstrate that </w:t>
      </w:r>
      <w:r w:rsidR="00B73B5F" w:rsidRPr="00BA5461">
        <w:rPr>
          <w:lang w:val="en-GB"/>
        </w:rPr>
        <w:t xml:space="preserve">green hydrogen is produced from renewable energy sources with close to zero emissions. </w:t>
      </w:r>
    </w:p>
    <w:p w14:paraId="3ADFC5EF" w14:textId="2AE33FFF" w:rsidR="0096088C" w:rsidRPr="00BA5461" w:rsidRDefault="00B73B5F" w:rsidP="0096088C">
      <w:pPr>
        <w:rPr>
          <w:color w:val="FF0000"/>
          <w:lang w:val="en-GB"/>
        </w:rPr>
      </w:pPr>
      <w:r w:rsidRPr="00BA5461">
        <w:rPr>
          <w:color w:val="FF0000"/>
          <w:lang w:val="en-GB"/>
        </w:rPr>
        <w:t xml:space="preserve">GH2 accreditation and certification </w:t>
      </w:r>
      <w:r w:rsidRPr="00BA5461">
        <w:rPr>
          <w:color w:val="FF0000"/>
          <w:u w:val="single"/>
          <w:lang w:val="en-GB"/>
        </w:rPr>
        <w:t>requires</w:t>
      </w:r>
      <w:r w:rsidRPr="00BA5461">
        <w:rPr>
          <w:color w:val="FF0000"/>
          <w:lang w:val="en-GB"/>
        </w:rPr>
        <w:t xml:space="preserve"> </w:t>
      </w:r>
      <w:r w:rsidR="00AE5713" w:rsidRPr="007D23B7">
        <w:rPr>
          <w:color w:val="FF0000"/>
          <w:lang w:val="en-GB"/>
        </w:rPr>
        <w:t xml:space="preserve">the </w:t>
      </w:r>
      <w:r w:rsidRPr="00BA5461">
        <w:rPr>
          <w:color w:val="FF0000"/>
          <w:lang w:val="en-GB"/>
        </w:rPr>
        <w:t xml:space="preserve">project </w:t>
      </w:r>
      <w:r w:rsidR="00283F5E" w:rsidRPr="007D23B7">
        <w:rPr>
          <w:color w:val="FF0000"/>
          <w:lang w:val="en-GB"/>
        </w:rPr>
        <w:t xml:space="preserve">operator </w:t>
      </w:r>
      <w:r w:rsidRPr="00BA5461">
        <w:rPr>
          <w:color w:val="FF0000"/>
          <w:lang w:val="en-GB"/>
        </w:rPr>
        <w:t xml:space="preserve">to demonstrate that hydrogen is </w:t>
      </w:r>
      <w:r w:rsidR="0096088C" w:rsidRPr="00BA5461">
        <w:rPr>
          <w:color w:val="FF0000"/>
          <w:lang w:val="en-GB"/>
        </w:rPr>
        <w:t xml:space="preserve">produced through the electrolysis of water with </w:t>
      </w:r>
      <w:r w:rsidR="00E11055" w:rsidRPr="007D23B7">
        <w:rPr>
          <w:color w:val="FF0000"/>
          <w:lang w:val="en-GB"/>
        </w:rPr>
        <w:t xml:space="preserve">100% or near 100% </w:t>
      </w:r>
      <w:r w:rsidR="0096088C" w:rsidRPr="00BA5461">
        <w:rPr>
          <w:color w:val="FF0000"/>
          <w:lang w:val="en-GB"/>
        </w:rPr>
        <w:t xml:space="preserve">renewable energy. </w:t>
      </w:r>
      <w:r w:rsidR="00D82BFC" w:rsidRPr="007D23B7">
        <w:rPr>
          <w:color w:val="FF0000"/>
          <w:lang w:val="en-GB"/>
        </w:rPr>
        <w:t xml:space="preserve">GH2 accreditation and certification requires </w:t>
      </w:r>
      <w:r w:rsidR="00D82BFC" w:rsidRPr="00BA5461">
        <w:rPr>
          <w:color w:val="FF0000"/>
          <w:lang w:val="en-GB"/>
        </w:rPr>
        <w:t>r</w:t>
      </w:r>
      <w:r w:rsidR="0031729E" w:rsidRPr="007D23B7">
        <w:rPr>
          <w:color w:val="FF0000"/>
          <w:lang w:val="en-GB"/>
        </w:rPr>
        <w:t xml:space="preserve">enewable </w:t>
      </w:r>
      <w:r w:rsidR="00D82BFC" w:rsidRPr="00BA5461">
        <w:rPr>
          <w:color w:val="FF0000"/>
          <w:lang w:val="en-GB"/>
        </w:rPr>
        <w:t>e</w:t>
      </w:r>
      <w:r w:rsidR="0031729E" w:rsidRPr="007D23B7">
        <w:rPr>
          <w:color w:val="FF0000"/>
          <w:lang w:val="en-GB"/>
        </w:rPr>
        <w:t xml:space="preserve">nergy </w:t>
      </w:r>
      <w:r w:rsidR="00D82BFC" w:rsidRPr="00BA5461">
        <w:rPr>
          <w:color w:val="FF0000"/>
          <w:lang w:val="en-GB"/>
        </w:rPr>
        <w:t xml:space="preserve">sourced from </w:t>
      </w:r>
      <w:r w:rsidR="00E977C0" w:rsidRPr="007D23B7">
        <w:rPr>
          <w:color w:val="FF0000"/>
          <w:lang w:val="en-GB"/>
        </w:rPr>
        <w:t xml:space="preserve">hydropower, </w:t>
      </w:r>
      <w:r w:rsidR="0031729E" w:rsidRPr="007D23B7">
        <w:rPr>
          <w:color w:val="FF0000"/>
          <w:lang w:val="en-GB"/>
        </w:rPr>
        <w:t>wind, solar (solar thermal and solar photovoltaic)</w:t>
      </w:r>
      <w:r w:rsidR="009B5129" w:rsidRPr="007D23B7">
        <w:rPr>
          <w:color w:val="FF0000"/>
          <w:lang w:val="en-GB"/>
        </w:rPr>
        <w:t>,</w:t>
      </w:r>
      <w:r w:rsidR="0031729E" w:rsidRPr="007D23B7">
        <w:rPr>
          <w:color w:val="FF0000"/>
          <w:lang w:val="en-GB"/>
        </w:rPr>
        <w:t xml:space="preserve"> geothermal energy, tide, </w:t>
      </w:r>
      <w:proofErr w:type="gramStart"/>
      <w:r w:rsidR="0031729E" w:rsidRPr="007D23B7">
        <w:rPr>
          <w:color w:val="FF0000"/>
          <w:lang w:val="en-GB"/>
        </w:rPr>
        <w:t>wave</w:t>
      </w:r>
      <w:proofErr w:type="gramEnd"/>
      <w:r w:rsidR="0031729E" w:rsidRPr="007D23B7">
        <w:rPr>
          <w:color w:val="FF0000"/>
          <w:lang w:val="en-GB"/>
        </w:rPr>
        <w:t xml:space="preserve"> and other ocean energy</w:t>
      </w:r>
      <w:r w:rsidR="00D82BFC" w:rsidRPr="00BA5461">
        <w:rPr>
          <w:color w:val="FF0000"/>
          <w:lang w:val="en-GB"/>
        </w:rPr>
        <w:t xml:space="preserve"> sources</w:t>
      </w:r>
      <w:r w:rsidR="00E977C0" w:rsidRPr="007D23B7">
        <w:rPr>
          <w:color w:val="FF0000"/>
          <w:lang w:val="en-GB"/>
        </w:rPr>
        <w:t xml:space="preserve">. GH2 will consider </w:t>
      </w:r>
      <w:r w:rsidR="00EC6DAC" w:rsidRPr="007D23B7">
        <w:rPr>
          <w:color w:val="FF0000"/>
          <w:lang w:val="en-GB"/>
        </w:rPr>
        <w:t xml:space="preserve">proposals from project </w:t>
      </w:r>
      <w:r w:rsidR="0004037D" w:rsidRPr="00BA5461">
        <w:rPr>
          <w:color w:val="FF0000"/>
          <w:lang w:val="en-GB"/>
        </w:rPr>
        <w:t>operators</w:t>
      </w:r>
      <w:r w:rsidR="00EC6DAC" w:rsidRPr="007D23B7">
        <w:rPr>
          <w:color w:val="FF0000"/>
          <w:lang w:val="en-GB"/>
        </w:rPr>
        <w:t xml:space="preserve"> based on other renewable non-fossil sources on a </w:t>
      </w:r>
      <w:r w:rsidR="00A8403C" w:rsidRPr="007D23B7">
        <w:rPr>
          <w:color w:val="FF0000"/>
          <w:lang w:val="en-GB"/>
        </w:rPr>
        <w:t>case-by-case</w:t>
      </w:r>
      <w:r w:rsidR="00EC6DAC" w:rsidRPr="007D23B7">
        <w:rPr>
          <w:color w:val="FF0000"/>
          <w:lang w:val="en-GB"/>
        </w:rPr>
        <w:t xml:space="preserve"> basis</w:t>
      </w:r>
      <w:r w:rsidR="00A8403C" w:rsidRPr="00BA5461">
        <w:rPr>
          <w:color w:val="FF0000"/>
          <w:lang w:val="en-GB"/>
        </w:rPr>
        <w:t xml:space="preserve">. The project </w:t>
      </w:r>
      <w:r w:rsidR="00AE5713" w:rsidRPr="00BA5461">
        <w:rPr>
          <w:color w:val="FF0000"/>
          <w:lang w:val="en-GB"/>
        </w:rPr>
        <w:t>operator</w:t>
      </w:r>
      <w:r w:rsidR="00A8403C" w:rsidRPr="00BA5461">
        <w:rPr>
          <w:color w:val="FF0000"/>
          <w:lang w:val="en-GB"/>
        </w:rPr>
        <w:t xml:space="preserve"> must demonstrate </w:t>
      </w:r>
      <w:r w:rsidR="00C759C7" w:rsidRPr="00BA5461">
        <w:rPr>
          <w:color w:val="FF0000"/>
          <w:lang w:val="en-GB"/>
        </w:rPr>
        <w:t xml:space="preserve">that project </w:t>
      </w:r>
      <w:r w:rsidR="006F29ED" w:rsidRPr="00BA5461">
        <w:rPr>
          <w:color w:val="FF0000"/>
          <w:lang w:val="en-GB"/>
        </w:rPr>
        <w:t xml:space="preserve">meets </w:t>
      </w:r>
      <w:r w:rsidR="000B5A81" w:rsidRPr="00BA5461">
        <w:rPr>
          <w:color w:val="FF0000"/>
          <w:lang w:val="en-GB"/>
        </w:rPr>
        <w:t xml:space="preserve">equivalent </w:t>
      </w:r>
      <w:r w:rsidR="00B804CA" w:rsidRPr="00BA5461">
        <w:rPr>
          <w:color w:val="FF0000"/>
          <w:lang w:val="en-GB"/>
        </w:rPr>
        <w:t xml:space="preserve">emissions and sustainability </w:t>
      </w:r>
      <w:r w:rsidR="006F29ED" w:rsidRPr="00BA5461">
        <w:rPr>
          <w:color w:val="FF0000"/>
          <w:lang w:val="en-GB"/>
        </w:rPr>
        <w:t xml:space="preserve">standards. </w:t>
      </w:r>
    </w:p>
    <w:p w14:paraId="20B394AD" w14:textId="1F3C224B" w:rsidR="00523020" w:rsidRPr="00BA5461" w:rsidRDefault="00523020" w:rsidP="00523020">
      <w:pPr>
        <w:rPr>
          <w:color w:val="FF0000"/>
          <w:lang w:val="en-GB"/>
        </w:rPr>
      </w:pPr>
      <w:r w:rsidRPr="00BA5461">
        <w:rPr>
          <w:color w:val="FF0000"/>
          <w:lang w:val="en-GB"/>
        </w:rPr>
        <w:t xml:space="preserve">GH2 accreditation and certification </w:t>
      </w:r>
      <w:r w:rsidRPr="00BA5461">
        <w:rPr>
          <w:color w:val="FF0000"/>
          <w:u w:val="single"/>
          <w:lang w:val="en-GB"/>
        </w:rPr>
        <w:t>requires</w:t>
      </w:r>
      <w:r w:rsidRPr="00BA5461">
        <w:rPr>
          <w:color w:val="FF0000"/>
          <w:lang w:val="en-GB"/>
        </w:rPr>
        <w:t xml:space="preserve"> that </w:t>
      </w:r>
      <w:r w:rsidR="00AE5713" w:rsidRPr="007D23B7">
        <w:rPr>
          <w:color w:val="FF0000"/>
          <w:lang w:val="en-GB"/>
        </w:rPr>
        <w:t>the</w:t>
      </w:r>
      <w:r w:rsidRPr="00BA5461">
        <w:rPr>
          <w:color w:val="FF0000"/>
          <w:lang w:val="en-GB"/>
        </w:rPr>
        <w:t xml:space="preserve"> project operator </w:t>
      </w:r>
      <w:r w:rsidR="006C0C3A" w:rsidRPr="007D23B7">
        <w:rPr>
          <w:color w:val="FF0000"/>
          <w:lang w:val="en-GB"/>
        </w:rPr>
        <w:t xml:space="preserve">undertakes an </w:t>
      </w:r>
      <w:r w:rsidRPr="00BA5461">
        <w:rPr>
          <w:color w:val="FF0000"/>
          <w:lang w:val="en-GB"/>
        </w:rPr>
        <w:t>evaluation of the project’s utilisation of electricity and the impact on the energy market</w:t>
      </w:r>
      <w:r w:rsidR="008D7854" w:rsidRPr="007D23B7">
        <w:rPr>
          <w:color w:val="FF0000"/>
          <w:lang w:val="en-GB"/>
        </w:rPr>
        <w:t xml:space="preserve"> including, where applicable, </w:t>
      </w:r>
      <w:r w:rsidR="00581414" w:rsidRPr="007D23B7">
        <w:rPr>
          <w:color w:val="FF0000"/>
          <w:lang w:val="en-GB"/>
        </w:rPr>
        <w:t>the impact of their operations on the greenhouse gas emissions from the electricity grid</w:t>
      </w:r>
      <w:r w:rsidRPr="00BA5461">
        <w:rPr>
          <w:color w:val="FF0000"/>
          <w:lang w:val="en-GB"/>
        </w:rPr>
        <w:t xml:space="preserve">. The project </w:t>
      </w:r>
      <w:r w:rsidR="00AE5713" w:rsidRPr="007D23B7">
        <w:rPr>
          <w:color w:val="FF0000"/>
          <w:lang w:val="en-GB"/>
        </w:rPr>
        <w:t>operator</w:t>
      </w:r>
      <w:r w:rsidRPr="00BA5461">
        <w:rPr>
          <w:color w:val="FF0000"/>
          <w:lang w:val="en-GB"/>
        </w:rPr>
        <w:t xml:space="preserve"> must demonstrate that it has identified and implemented technically feasible and cost-effective measures that support energy efficiency</w:t>
      </w:r>
      <w:r w:rsidR="001E1B40" w:rsidRPr="007D23B7">
        <w:rPr>
          <w:color w:val="FF0000"/>
          <w:lang w:val="en-GB"/>
        </w:rPr>
        <w:t xml:space="preserve"> or other decarbonisation options</w:t>
      </w:r>
      <w:r w:rsidRPr="00BA5461">
        <w:rPr>
          <w:color w:val="FF0000"/>
          <w:lang w:val="en-GB"/>
        </w:rPr>
        <w:t>, addressing any impacts vis-à-vis access to affordable and reliable energy.</w:t>
      </w:r>
      <w:r w:rsidR="00791229" w:rsidRPr="007D23B7">
        <w:rPr>
          <w:color w:val="FF0000"/>
          <w:lang w:val="en-GB"/>
        </w:rPr>
        <w:t xml:space="preserve"> </w:t>
      </w:r>
      <w:r w:rsidR="004E4A31" w:rsidRPr="007D23B7">
        <w:rPr>
          <w:color w:val="FF0000"/>
          <w:lang w:val="en-GB"/>
        </w:rPr>
        <w:t>Where the evaluation concludes that the project may lead to a significant</w:t>
      </w:r>
      <w:r w:rsidR="009B2134" w:rsidRPr="00BA5461">
        <w:rPr>
          <w:color w:val="FF0000"/>
          <w:lang w:val="en-GB"/>
        </w:rPr>
        <w:t xml:space="preserve"> utilisation </w:t>
      </w:r>
      <w:r w:rsidR="004E4A31" w:rsidRPr="007D23B7">
        <w:rPr>
          <w:color w:val="FF0000"/>
          <w:lang w:val="en-GB"/>
        </w:rPr>
        <w:t xml:space="preserve">of renewable energy from the electricity grid and/or increased greenhouse gas emissions from the electricity grid, there is an </w:t>
      </w:r>
      <w:r w:rsidR="004E4A31" w:rsidRPr="007D23B7">
        <w:rPr>
          <w:color w:val="FF0000"/>
          <w:u w:val="single"/>
          <w:lang w:val="en-GB"/>
        </w:rPr>
        <w:t>expectation</w:t>
      </w:r>
      <w:r w:rsidR="004E4A31" w:rsidRPr="007D23B7">
        <w:rPr>
          <w:color w:val="FF0000"/>
          <w:lang w:val="en-GB"/>
        </w:rPr>
        <w:t xml:space="preserve"> that the project operator has identified and implemented technically feasible and cost-effective measures to support the deployment of additional renewable energy capacity.</w:t>
      </w:r>
      <w:r w:rsidR="009B2134" w:rsidRPr="00BA5461">
        <w:rPr>
          <w:color w:val="FF0000"/>
          <w:lang w:val="en-GB"/>
        </w:rPr>
        <w:t xml:space="preserve"> </w:t>
      </w:r>
    </w:p>
    <w:p w14:paraId="6731E224" w14:textId="47F4D9F2" w:rsidR="00B73B5F" w:rsidRPr="007D23B7" w:rsidRDefault="00B73B5F" w:rsidP="0096088C">
      <w:pPr>
        <w:rPr>
          <w:color w:val="FF0000"/>
          <w:lang w:val="en-GB"/>
        </w:rPr>
      </w:pPr>
      <w:r w:rsidRPr="00BA5461">
        <w:rPr>
          <w:color w:val="FF0000"/>
          <w:lang w:val="en-GB"/>
        </w:rPr>
        <w:t xml:space="preserve">Green hydrogen producers may count electricity taken from the grid as fully renewable if they have concluded one or more power purchase agreements (PPAs) with operators producing renewable electricity in one or more installations, generating renewable electricity for an amount that is at least equivalent to the amount of electricity that is claimed as fully </w:t>
      </w:r>
      <w:proofErr w:type="gramStart"/>
      <w:r w:rsidRPr="00BA5461">
        <w:rPr>
          <w:color w:val="FF0000"/>
          <w:lang w:val="en-GB"/>
        </w:rPr>
        <w:t>renewable</w:t>
      </w:r>
      <w:proofErr w:type="gramEnd"/>
      <w:r w:rsidRPr="00BA5461">
        <w:rPr>
          <w:color w:val="FF0000"/>
          <w:lang w:val="en-GB"/>
        </w:rPr>
        <w:t xml:space="preserve"> and the electricity claimed is effectively produced in this or these installations. PPAs should make use of credible guarantee of origin certification schemes </w:t>
      </w:r>
      <w:r w:rsidR="00820CAD" w:rsidRPr="007D23B7">
        <w:rPr>
          <w:color w:val="FF0000"/>
          <w:lang w:val="en-GB"/>
        </w:rPr>
        <w:t xml:space="preserve">(or similar proofs) </w:t>
      </w:r>
      <w:r w:rsidRPr="00BA5461">
        <w:rPr>
          <w:color w:val="FF0000"/>
          <w:lang w:val="en-GB"/>
        </w:rPr>
        <w:t xml:space="preserve">where available. </w:t>
      </w:r>
      <w:r w:rsidR="0048178E" w:rsidRPr="007D23B7">
        <w:rPr>
          <w:color w:val="FF0000"/>
          <w:lang w:val="en-GB"/>
        </w:rPr>
        <w:t xml:space="preserve">There is an expectation that the project </w:t>
      </w:r>
      <w:r w:rsidR="00AE5713" w:rsidRPr="007D23B7">
        <w:rPr>
          <w:color w:val="FF0000"/>
          <w:lang w:val="en-GB"/>
        </w:rPr>
        <w:t>operator</w:t>
      </w:r>
      <w:r w:rsidR="0048178E" w:rsidRPr="007D23B7">
        <w:rPr>
          <w:color w:val="FF0000"/>
          <w:lang w:val="en-GB"/>
        </w:rPr>
        <w:t xml:space="preserve"> has addressed temporal correlation (ensuring that the electrolysers’ demand matches the renewable power generation as a minimum on an intra-day basis) as well as a geographical correlation (ensuring that the electrolyser and the renewable power generation covered by the PPA </w:t>
      </w:r>
      <w:proofErr w:type="gramStart"/>
      <w:r w:rsidR="0048178E" w:rsidRPr="007D23B7">
        <w:rPr>
          <w:color w:val="FF0000"/>
          <w:lang w:val="en-GB"/>
        </w:rPr>
        <w:t>are located in</w:t>
      </w:r>
      <w:proofErr w:type="gramEnd"/>
      <w:r w:rsidR="0048178E" w:rsidRPr="007D23B7">
        <w:rPr>
          <w:color w:val="FF0000"/>
          <w:lang w:val="en-GB"/>
        </w:rPr>
        <w:t xml:space="preserve"> the same power market).</w:t>
      </w:r>
      <w:r w:rsidR="000B5A81" w:rsidRPr="00BA5461">
        <w:rPr>
          <w:color w:val="FF0000"/>
          <w:lang w:val="en-GB"/>
        </w:rPr>
        <w:t xml:space="preserve"> </w:t>
      </w:r>
      <w:r w:rsidRPr="00BA5461">
        <w:rPr>
          <w:color w:val="FF0000"/>
          <w:lang w:val="en-GB"/>
        </w:rPr>
        <w:t>Where regulatory bodies have imposed additional requirements on temporal or geographical correlation between the consumption of electricity by the electrolysers and the generation of the additional renewables-based electricity, GH2 certification requires that these requirements are met.</w:t>
      </w:r>
    </w:p>
    <w:p w14:paraId="597C73B7" w14:textId="36A77AC7" w:rsidR="00651829" w:rsidRPr="007D23B7" w:rsidRDefault="0048178E" w:rsidP="0096088C">
      <w:pPr>
        <w:rPr>
          <w:lang w:val="en-GB"/>
        </w:rPr>
      </w:pPr>
      <w:r w:rsidRPr="00BA5461">
        <w:rPr>
          <w:color w:val="FF0000"/>
          <w:lang w:val="en-GB"/>
        </w:rPr>
        <w:lastRenderedPageBreak/>
        <w:t xml:space="preserve">Up to </w:t>
      </w:r>
      <w:r w:rsidR="00FE36C6">
        <w:rPr>
          <w:color w:val="FF0000"/>
          <w:lang w:val="en-GB"/>
        </w:rPr>
        <w:t>[</w:t>
      </w:r>
      <w:r w:rsidRPr="00BA5461">
        <w:rPr>
          <w:color w:val="FF0000"/>
          <w:lang w:val="en-GB"/>
        </w:rPr>
        <w:t>5%</w:t>
      </w:r>
      <w:r w:rsidR="00FE36C6">
        <w:rPr>
          <w:color w:val="FF0000"/>
          <w:lang w:val="en-GB"/>
        </w:rPr>
        <w:t>]</w:t>
      </w:r>
      <w:r w:rsidRPr="00BA5461">
        <w:rPr>
          <w:color w:val="FF0000"/>
          <w:lang w:val="en-GB"/>
        </w:rPr>
        <w:t xml:space="preserve"> of ‘grey’ electricity may be consumed by electrolysers </w:t>
      </w:r>
      <w:proofErr w:type="gramStart"/>
      <w:r w:rsidRPr="00BA5461">
        <w:rPr>
          <w:color w:val="FF0000"/>
          <w:lang w:val="en-GB"/>
        </w:rPr>
        <w:t>in a given year</w:t>
      </w:r>
      <w:proofErr w:type="gramEnd"/>
      <w:r w:rsidRPr="00BA5461">
        <w:rPr>
          <w:color w:val="FF0000"/>
          <w:lang w:val="en-GB"/>
        </w:rPr>
        <w:t xml:space="preserve"> if it can be reasonably demonstrated that there have been technical or market constraints requiring such use. GHG emissions resulting from the use of this ‘grey’ electricity consumption need to be calculated according to the rules applied by the UNFCCC to calculate the emission factor for an electricity system</w:t>
      </w:r>
      <w:r w:rsidRPr="007D23B7">
        <w:rPr>
          <w:rStyle w:val="FootnoteReference"/>
          <w:color w:val="FF0000"/>
          <w:lang w:val="en-GB"/>
        </w:rPr>
        <w:footnoteReference w:id="13"/>
      </w:r>
      <w:r w:rsidRPr="00BA5461">
        <w:rPr>
          <w:color w:val="FF0000"/>
          <w:lang w:val="en-GB"/>
        </w:rPr>
        <w:t>). The overall threshold for the GHG intensity of produced hydrogen (1kg Co2 / kg H2) must not be exceeded in a given calendar year.</w:t>
      </w:r>
      <w:r w:rsidR="00C70FBF">
        <w:rPr>
          <w:color w:val="FF0000"/>
          <w:lang w:val="en-GB"/>
        </w:rPr>
        <w:t xml:space="preserve"> </w:t>
      </w:r>
    </w:p>
    <w:p w14:paraId="7A747547" w14:textId="10809DD1" w:rsidR="00F43508" w:rsidRPr="00BA5461" w:rsidRDefault="00973EB2" w:rsidP="00F43508">
      <w:pPr>
        <w:pStyle w:val="Heading2"/>
        <w:ind w:left="2552" w:hanging="2552"/>
        <w:rPr>
          <w:lang w:val="en-GB"/>
        </w:rPr>
      </w:pPr>
      <w:r w:rsidRPr="00BA5461">
        <w:rPr>
          <w:lang w:val="en-GB"/>
        </w:rPr>
        <w:t>Requirement</w:t>
      </w:r>
      <w:r w:rsidRPr="00BA5461" w:rsidDel="00973EB2">
        <w:rPr>
          <w:lang w:val="en-GB"/>
        </w:rPr>
        <w:t xml:space="preserve"> </w:t>
      </w:r>
      <w:r w:rsidR="0026035A" w:rsidRPr="00BA5461">
        <w:rPr>
          <w:lang w:val="en-GB"/>
        </w:rPr>
        <w:t>5</w:t>
      </w:r>
      <w:r w:rsidR="00F43508" w:rsidRPr="00BA5461">
        <w:rPr>
          <w:lang w:val="en-GB"/>
        </w:rPr>
        <w:t>B</w:t>
      </w:r>
      <w:r w:rsidR="00F43508" w:rsidRPr="00BA5461">
        <w:rPr>
          <w:lang w:val="en-GB"/>
        </w:rPr>
        <w:tab/>
      </w:r>
      <w:r w:rsidR="0095172C" w:rsidRPr="00BA5461">
        <w:rPr>
          <w:lang w:val="en-GB"/>
        </w:rPr>
        <w:t>Water use and quality</w:t>
      </w:r>
      <w:bookmarkEnd w:id="18"/>
    </w:p>
    <w:p w14:paraId="25665CEA" w14:textId="69FCA33E" w:rsidR="00BE5169" w:rsidRPr="00BA5461" w:rsidRDefault="00254686" w:rsidP="00B265ED">
      <w:pPr>
        <w:spacing w:before="240" w:after="240"/>
        <w:rPr>
          <w:lang w:val="en-GB"/>
        </w:rPr>
      </w:pPr>
      <w:r w:rsidRPr="00BA5461">
        <w:rPr>
          <w:lang w:val="en-GB"/>
        </w:rPr>
        <w:t xml:space="preserve">The objective of this provision is to ensure that green hydrogen projects </w:t>
      </w:r>
      <w:r w:rsidR="00EF7B35" w:rsidRPr="00BA5461">
        <w:rPr>
          <w:lang w:val="en-GB"/>
        </w:rPr>
        <w:t xml:space="preserve">address the </w:t>
      </w:r>
      <w:r w:rsidR="00BE5169" w:rsidRPr="00BA5461">
        <w:rPr>
          <w:lang w:val="en-GB"/>
        </w:rPr>
        <w:t>availability and sustainable management of water and sanitation</w:t>
      </w:r>
      <w:r w:rsidR="00731638" w:rsidRPr="00BA5461">
        <w:rPr>
          <w:lang w:val="en-GB"/>
        </w:rPr>
        <w:t>, particularly incorporating the need to address risks of reducing water access/exacerbates water stress</w:t>
      </w:r>
      <w:r w:rsidR="00D5067B" w:rsidRPr="00BA5461">
        <w:rPr>
          <w:lang w:val="en-GB"/>
        </w:rPr>
        <w:t>.</w:t>
      </w:r>
    </w:p>
    <w:p w14:paraId="00DC0590" w14:textId="07FC8920" w:rsidR="00731638" w:rsidRPr="00BA5461" w:rsidRDefault="00B265ED" w:rsidP="00B265ED">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a publicly accessible evaluation of the project’s utilisation of water</w:t>
      </w:r>
      <w:r w:rsidR="0008071C" w:rsidRPr="00BA5461">
        <w:rPr>
          <w:lang w:val="en-GB"/>
        </w:rPr>
        <w:t xml:space="preserve"> and the project’s approach to </w:t>
      </w:r>
      <w:r w:rsidR="00E169FC" w:rsidRPr="00BA5461">
        <w:rPr>
          <w:lang w:val="en-GB"/>
        </w:rPr>
        <w:t>wastewater treatment and water pollution</w:t>
      </w:r>
      <w:r w:rsidR="003C3639" w:rsidRPr="00BA5461">
        <w:rPr>
          <w:rStyle w:val="FootnoteReference"/>
          <w:lang w:val="en-GB"/>
        </w:rPr>
        <w:footnoteReference w:id="14"/>
      </w:r>
      <w:r w:rsidR="0008071C" w:rsidRPr="00BA5461">
        <w:rPr>
          <w:lang w:val="en-GB"/>
        </w:rPr>
        <w:t xml:space="preserve">, </w:t>
      </w:r>
      <w:r w:rsidR="00A202E2" w:rsidRPr="00BA5461">
        <w:rPr>
          <w:lang w:val="en-GB"/>
        </w:rPr>
        <w:t xml:space="preserve">referencing, where appropriate, applicable </w:t>
      </w:r>
      <w:r w:rsidR="00FB6232" w:rsidRPr="00BA5461">
        <w:rPr>
          <w:lang w:val="en-GB"/>
        </w:rPr>
        <w:t xml:space="preserve">national </w:t>
      </w:r>
      <w:r w:rsidR="0008071C" w:rsidRPr="00BA5461">
        <w:rPr>
          <w:lang w:val="en-GB"/>
        </w:rPr>
        <w:t>standards</w:t>
      </w:r>
      <w:r w:rsidR="00A202E2" w:rsidRPr="00BA5461">
        <w:rPr>
          <w:lang w:val="en-GB"/>
        </w:rPr>
        <w:t>. Th</w:t>
      </w:r>
      <w:r w:rsidR="00465E3B" w:rsidRPr="00BA5461">
        <w:rPr>
          <w:lang w:val="en-GB"/>
        </w:rPr>
        <w:t xml:space="preserve">e project </w:t>
      </w:r>
      <w:r w:rsidR="00AE5713" w:rsidRPr="00BA5461">
        <w:rPr>
          <w:lang w:val="en-GB"/>
        </w:rPr>
        <w:t>operator</w:t>
      </w:r>
      <w:r w:rsidR="00465E3B" w:rsidRPr="00BA5461">
        <w:rPr>
          <w:lang w:val="en-GB"/>
        </w:rPr>
        <w:t xml:space="preserve"> must demonstrate that it has identified and implemented </w:t>
      </w:r>
      <w:r w:rsidR="00A202E2" w:rsidRPr="00BA5461">
        <w:rPr>
          <w:lang w:val="en-GB"/>
        </w:rPr>
        <w:t>technically and financially feasible and cost</w:t>
      </w:r>
      <w:r w:rsidR="00B17927" w:rsidRPr="00BA5461">
        <w:rPr>
          <w:lang w:val="en-GB"/>
        </w:rPr>
        <w:t>-</w:t>
      </w:r>
      <w:r w:rsidR="00A202E2" w:rsidRPr="00BA5461">
        <w:rPr>
          <w:lang w:val="en-GB"/>
        </w:rPr>
        <w:t xml:space="preserve">effective measures for improving efficiency in its consumption of </w:t>
      </w:r>
      <w:r w:rsidR="00B17927" w:rsidRPr="00BA5461">
        <w:rPr>
          <w:lang w:val="en-GB"/>
        </w:rPr>
        <w:t>water</w:t>
      </w:r>
      <w:r w:rsidR="00731638" w:rsidRPr="00BA5461">
        <w:rPr>
          <w:lang w:val="en-GB"/>
        </w:rPr>
        <w:t>, particularly in risks associated with water access and water stress</w:t>
      </w:r>
      <w:r w:rsidR="00B17927" w:rsidRPr="00BA5461">
        <w:rPr>
          <w:lang w:val="en-GB"/>
        </w:rPr>
        <w:t xml:space="preserve">. </w:t>
      </w:r>
      <w:r w:rsidR="00A202E2" w:rsidRPr="00BA5461">
        <w:rPr>
          <w:lang w:val="en-GB"/>
        </w:rPr>
        <w:t xml:space="preserve">Such measures will integrate the principles of cleaner production into product design and production processes with the objective of </w:t>
      </w:r>
      <w:r w:rsidR="00DE436F" w:rsidRPr="00BA5461">
        <w:rPr>
          <w:lang w:val="en-GB"/>
        </w:rPr>
        <w:t>optimi</w:t>
      </w:r>
      <w:r w:rsidR="00DE436F">
        <w:rPr>
          <w:lang w:val="en-GB"/>
        </w:rPr>
        <w:t>s</w:t>
      </w:r>
      <w:r w:rsidR="00DE436F" w:rsidRPr="00BA5461">
        <w:rPr>
          <w:lang w:val="en-GB"/>
        </w:rPr>
        <w:t xml:space="preserve">ing </w:t>
      </w:r>
      <w:r w:rsidR="00B17927" w:rsidRPr="00BA5461">
        <w:rPr>
          <w:lang w:val="en-GB"/>
        </w:rPr>
        <w:t>water con</w:t>
      </w:r>
      <w:r w:rsidR="008406BA" w:rsidRPr="00BA5461">
        <w:rPr>
          <w:lang w:val="en-GB"/>
        </w:rPr>
        <w:t xml:space="preserve">sumption and </w:t>
      </w:r>
      <w:r w:rsidR="00DE436F" w:rsidRPr="00BA5461">
        <w:rPr>
          <w:lang w:val="en-GB"/>
        </w:rPr>
        <w:t>minimi</w:t>
      </w:r>
      <w:r w:rsidR="00DE436F">
        <w:rPr>
          <w:lang w:val="en-GB"/>
        </w:rPr>
        <w:t>s</w:t>
      </w:r>
      <w:r w:rsidR="00DE436F" w:rsidRPr="00BA5461">
        <w:rPr>
          <w:lang w:val="en-GB"/>
        </w:rPr>
        <w:t xml:space="preserve">ing </w:t>
      </w:r>
      <w:r w:rsidR="008406BA" w:rsidRPr="00BA5461">
        <w:rPr>
          <w:lang w:val="en-GB"/>
        </w:rPr>
        <w:t xml:space="preserve">water pollution. </w:t>
      </w:r>
    </w:p>
    <w:p w14:paraId="240A2408" w14:textId="6381AD23" w:rsidR="00B265ED" w:rsidRPr="00BA5461" w:rsidRDefault="00615EC8" w:rsidP="00B265ED">
      <w:pPr>
        <w:spacing w:before="240" w:after="240"/>
        <w:rPr>
          <w:lang w:val="en-GB"/>
        </w:rPr>
      </w:pPr>
      <w:r w:rsidRPr="00BA5461">
        <w:rPr>
          <w:lang w:val="en-GB"/>
        </w:rPr>
        <w:t>This could include:</w:t>
      </w:r>
    </w:p>
    <w:p w14:paraId="1230ED02" w14:textId="698AF0CC" w:rsidR="00615EC8" w:rsidRPr="00BA5461" w:rsidRDefault="00615EC8" w:rsidP="00615EC8">
      <w:pPr>
        <w:pStyle w:val="ListParagraph"/>
        <w:numPr>
          <w:ilvl w:val="0"/>
          <w:numId w:val="17"/>
        </w:numPr>
        <w:spacing w:before="240" w:after="240"/>
        <w:rPr>
          <w:lang w:val="en-GB"/>
        </w:rPr>
      </w:pPr>
      <w:r w:rsidRPr="00BA5461">
        <w:rPr>
          <w:lang w:val="en-GB"/>
        </w:rPr>
        <w:t xml:space="preserve">A description of how the project interacts with water, including how and where water is withdrawn, consumed, and discharged, and the water-related impacts caused or contributed to, or directly linked to the </w:t>
      </w:r>
      <w:proofErr w:type="gramStart"/>
      <w:r w:rsidRPr="00BA5461">
        <w:rPr>
          <w:lang w:val="en-GB"/>
        </w:rPr>
        <w:t>project;</w:t>
      </w:r>
      <w:proofErr w:type="gramEnd"/>
    </w:p>
    <w:p w14:paraId="1244BF8B" w14:textId="3CFC19F8" w:rsidR="00484C7F" w:rsidRPr="00BA5461" w:rsidRDefault="00484C7F" w:rsidP="00615EC8">
      <w:pPr>
        <w:pStyle w:val="ListParagraph"/>
        <w:numPr>
          <w:ilvl w:val="0"/>
          <w:numId w:val="17"/>
        </w:numPr>
        <w:spacing w:before="240" w:after="240"/>
        <w:rPr>
          <w:lang w:val="en-GB"/>
        </w:rPr>
      </w:pPr>
      <w:r w:rsidRPr="00BA5461">
        <w:rPr>
          <w:lang w:val="en-GB"/>
        </w:rPr>
        <w:t>A description of total water consumption from all areas</w:t>
      </w:r>
      <w:r w:rsidR="00C77FD1" w:rsidRPr="00BA5461">
        <w:rPr>
          <w:lang w:val="en-GB"/>
        </w:rPr>
        <w:t xml:space="preserve">, with a focus on areas with water </w:t>
      </w:r>
      <w:proofErr w:type="gramStart"/>
      <w:r w:rsidR="00C77FD1" w:rsidRPr="00BA5461">
        <w:rPr>
          <w:lang w:val="en-GB"/>
        </w:rPr>
        <w:t>stress;</w:t>
      </w:r>
      <w:proofErr w:type="gramEnd"/>
    </w:p>
    <w:p w14:paraId="02A11DCC" w14:textId="77777777" w:rsidR="00EC5D4B" w:rsidRPr="00BA5461" w:rsidRDefault="00F674C8" w:rsidP="00F674C8">
      <w:pPr>
        <w:pStyle w:val="ListParagraph"/>
        <w:numPr>
          <w:ilvl w:val="0"/>
          <w:numId w:val="17"/>
        </w:numPr>
        <w:spacing w:before="240" w:after="240"/>
        <w:rPr>
          <w:lang w:val="en-GB"/>
        </w:rPr>
      </w:pPr>
      <w:r w:rsidRPr="00BA5461">
        <w:rPr>
          <w:lang w:val="en-GB"/>
        </w:rPr>
        <w:t xml:space="preserve">A description of how water-related impacts are addressed, including how the project operator works with stakeholders to steward water as a shared </w:t>
      </w:r>
      <w:proofErr w:type="gramStart"/>
      <w:r w:rsidRPr="00BA5461">
        <w:rPr>
          <w:lang w:val="en-GB"/>
        </w:rPr>
        <w:t>resource</w:t>
      </w:r>
      <w:r w:rsidR="00EC5D4B" w:rsidRPr="00BA5461">
        <w:rPr>
          <w:lang w:val="en-GB"/>
        </w:rPr>
        <w:t>;</w:t>
      </w:r>
      <w:proofErr w:type="gramEnd"/>
    </w:p>
    <w:p w14:paraId="3FA3F869" w14:textId="1C531052" w:rsidR="00615EC8" w:rsidRPr="00BA5461" w:rsidRDefault="00EC5D4B" w:rsidP="007D23B7">
      <w:pPr>
        <w:pStyle w:val="ListParagraph"/>
        <w:numPr>
          <w:ilvl w:val="0"/>
          <w:numId w:val="17"/>
        </w:numPr>
        <w:spacing w:before="240" w:after="240"/>
        <w:rPr>
          <w:lang w:val="en-GB"/>
        </w:rPr>
      </w:pPr>
      <w:r w:rsidRPr="00BA5461">
        <w:rPr>
          <w:lang w:val="en-GB"/>
        </w:rPr>
        <w:t>A description of any minimum standards set for the quality of effluent discharge, and how these minimum standards were determined</w:t>
      </w:r>
      <w:r w:rsidR="00615EC8" w:rsidRPr="00BA5461">
        <w:rPr>
          <w:lang w:val="en-GB"/>
        </w:rPr>
        <w:t>.</w:t>
      </w:r>
    </w:p>
    <w:p w14:paraId="5E92D5F1" w14:textId="0DA86382" w:rsidR="00F43508" w:rsidRPr="00BA5461" w:rsidRDefault="00973EB2" w:rsidP="00F43508">
      <w:pPr>
        <w:pStyle w:val="Heading2"/>
        <w:ind w:left="2552" w:hanging="2552"/>
        <w:rPr>
          <w:lang w:val="en-GB"/>
        </w:rPr>
      </w:pPr>
      <w:bookmarkStart w:id="19" w:name="_Toc94641825"/>
      <w:r w:rsidRPr="00BA5461">
        <w:rPr>
          <w:lang w:val="en-GB"/>
        </w:rPr>
        <w:t>Requirement</w:t>
      </w:r>
      <w:r w:rsidRPr="00BA5461" w:rsidDel="00973EB2">
        <w:rPr>
          <w:lang w:val="en-GB"/>
        </w:rPr>
        <w:t xml:space="preserve"> </w:t>
      </w:r>
      <w:r w:rsidR="0026035A" w:rsidRPr="00BA5461">
        <w:rPr>
          <w:lang w:val="en-GB"/>
        </w:rPr>
        <w:t>5</w:t>
      </w:r>
      <w:r w:rsidR="00F43508" w:rsidRPr="00BA5461">
        <w:rPr>
          <w:lang w:val="en-GB"/>
        </w:rPr>
        <w:t>C</w:t>
      </w:r>
      <w:r w:rsidR="00F43508" w:rsidRPr="00BA5461">
        <w:rPr>
          <w:lang w:val="en-GB"/>
        </w:rPr>
        <w:tab/>
      </w:r>
      <w:r w:rsidR="0095172C" w:rsidRPr="00BA5461">
        <w:rPr>
          <w:lang w:val="en-GB"/>
        </w:rPr>
        <w:t>Waste, Noise and Air Quality</w:t>
      </w:r>
      <w:bookmarkEnd w:id="19"/>
    </w:p>
    <w:p w14:paraId="03B8C408" w14:textId="4A7D8892" w:rsidR="0066288F" w:rsidRPr="00BA5461" w:rsidRDefault="00CF3574" w:rsidP="00CF3574">
      <w:pPr>
        <w:spacing w:before="240" w:after="240"/>
        <w:rPr>
          <w:lang w:val="en-GB"/>
        </w:rPr>
      </w:pPr>
      <w:r w:rsidRPr="00BA5461">
        <w:rPr>
          <w:lang w:val="en-GB"/>
        </w:rPr>
        <w:t xml:space="preserve">The objective of this provision is to ensure that the negative environmental and social impacts associated with the project are managed; avoidance, minimisation, mitigation, </w:t>
      </w:r>
      <w:proofErr w:type="gramStart"/>
      <w:r w:rsidRPr="00BA5461">
        <w:rPr>
          <w:lang w:val="en-GB"/>
        </w:rPr>
        <w:t>compensation</w:t>
      </w:r>
      <w:proofErr w:type="gramEnd"/>
      <w:r w:rsidRPr="00BA5461">
        <w:rPr>
          <w:lang w:val="en-GB"/>
        </w:rPr>
        <w:t xml:space="preserve"> and enhancement measures are implemented; and environmental and social commitments are fulfilled.</w:t>
      </w:r>
    </w:p>
    <w:p w14:paraId="42267217" w14:textId="58904D99" w:rsidR="00F43508" w:rsidRPr="00BA5461" w:rsidRDefault="00CF3574" w:rsidP="0066288F">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w</w:t>
      </w:r>
      <w:r w:rsidR="0066288F" w:rsidRPr="00BA5461">
        <w:rPr>
          <w:lang w:val="en-GB"/>
        </w:rPr>
        <w:t xml:space="preserve">aste, </w:t>
      </w:r>
      <w:proofErr w:type="gramStart"/>
      <w:r w:rsidR="0066288F" w:rsidRPr="00BA5461">
        <w:rPr>
          <w:lang w:val="en-GB"/>
        </w:rPr>
        <w:t>noise</w:t>
      </w:r>
      <w:proofErr w:type="gramEnd"/>
      <w:r w:rsidR="0066288F" w:rsidRPr="00BA5461">
        <w:rPr>
          <w:lang w:val="en-GB"/>
        </w:rPr>
        <w:t xml:space="preserve"> and air quality issues relevant to project implementation</w:t>
      </w:r>
      <w:r w:rsidRPr="00BA5461">
        <w:rPr>
          <w:lang w:val="en-GB"/>
        </w:rPr>
        <w:t xml:space="preserve"> </w:t>
      </w:r>
      <w:r w:rsidR="0066288F" w:rsidRPr="00BA5461">
        <w:rPr>
          <w:lang w:val="en-GB"/>
        </w:rPr>
        <w:t>and operation have been identified through an</w:t>
      </w:r>
      <w:r w:rsidRPr="00BA5461">
        <w:rPr>
          <w:lang w:val="en-GB"/>
        </w:rPr>
        <w:t xml:space="preserve"> </w:t>
      </w:r>
      <w:r w:rsidR="0066288F" w:rsidRPr="00BA5461">
        <w:rPr>
          <w:lang w:val="en-GB"/>
        </w:rPr>
        <w:t xml:space="preserve">assessment process utilising appropriate </w:t>
      </w:r>
      <w:r w:rsidR="0066288F" w:rsidRPr="00BA5461">
        <w:rPr>
          <w:lang w:val="en-GB"/>
        </w:rPr>
        <w:lastRenderedPageBreak/>
        <w:t>expertise</w:t>
      </w:r>
      <w:r w:rsidRPr="00BA5461">
        <w:rPr>
          <w:lang w:val="en-GB"/>
        </w:rPr>
        <w:t xml:space="preserve"> </w:t>
      </w:r>
      <w:r w:rsidR="0066288F" w:rsidRPr="00BA5461">
        <w:rPr>
          <w:lang w:val="en-GB"/>
        </w:rPr>
        <w:t xml:space="preserve">and </w:t>
      </w:r>
      <w:r w:rsidRPr="00BA5461">
        <w:rPr>
          <w:lang w:val="en-GB"/>
        </w:rPr>
        <w:t xml:space="preserve">that </w:t>
      </w:r>
      <w:r w:rsidR="0066288F" w:rsidRPr="00BA5461">
        <w:rPr>
          <w:lang w:val="en-GB"/>
        </w:rPr>
        <w:t>monitoring is being undertaken during the</w:t>
      </w:r>
      <w:r w:rsidRPr="00BA5461">
        <w:rPr>
          <w:lang w:val="en-GB"/>
        </w:rPr>
        <w:t xml:space="preserve"> </w:t>
      </w:r>
      <w:r w:rsidR="0066288F" w:rsidRPr="00BA5461">
        <w:rPr>
          <w:lang w:val="en-GB"/>
        </w:rPr>
        <w:t>project implementation stage appropriate to the</w:t>
      </w:r>
      <w:r w:rsidRPr="00BA5461">
        <w:rPr>
          <w:lang w:val="en-GB"/>
        </w:rPr>
        <w:t xml:space="preserve"> </w:t>
      </w:r>
      <w:r w:rsidR="0066288F" w:rsidRPr="00BA5461">
        <w:rPr>
          <w:lang w:val="en-GB"/>
        </w:rPr>
        <w:t>identified issues</w:t>
      </w:r>
      <w:r w:rsidRPr="00BA5461">
        <w:rPr>
          <w:lang w:val="en-GB"/>
        </w:rPr>
        <w:t>.</w:t>
      </w:r>
    </w:p>
    <w:p w14:paraId="57F3B9A4" w14:textId="25B3E826" w:rsidR="00F43508" w:rsidRPr="00BA5461" w:rsidRDefault="00973EB2" w:rsidP="00F43508">
      <w:pPr>
        <w:pStyle w:val="Heading2"/>
        <w:ind w:left="2552" w:hanging="2552"/>
        <w:rPr>
          <w:lang w:val="en-GB"/>
        </w:rPr>
      </w:pPr>
      <w:bookmarkStart w:id="20" w:name="_Toc94641826"/>
      <w:r w:rsidRPr="00BA5461">
        <w:rPr>
          <w:lang w:val="en-GB"/>
        </w:rPr>
        <w:t>Requirement</w:t>
      </w:r>
      <w:r w:rsidRPr="00BA5461" w:rsidDel="00973EB2">
        <w:rPr>
          <w:lang w:val="en-GB"/>
        </w:rPr>
        <w:t xml:space="preserve"> </w:t>
      </w:r>
      <w:r w:rsidR="0026035A" w:rsidRPr="00BA5461">
        <w:rPr>
          <w:lang w:val="en-GB"/>
        </w:rPr>
        <w:t>5</w:t>
      </w:r>
      <w:r w:rsidR="00F43508" w:rsidRPr="00BA5461">
        <w:rPr>
          <w:lang w:val="en-GB"/>
        </w:rPr>
        <w:t>D</w:t>
      </w:r>
      <w:r w:rsidR="00F43508" w:rsidRPr="00BA5461">
        <w:rPr>
          <w:lang w:val="en-GB"/>
        </w:rPr>
        <w:tab/>
      </w:r>
      <w:r w:rsidR="0095172C" w:rsidRPr="00BA5461">
        <w:rPr>
          <w:lang w:val="en-GB"/>
        </w:rPr>
        <w:t>Biodiversity</w:t>
      </w:r>
      <w:bookmarkEnd w:id="20"/>
    </w:p>
    <w:p w14:paraId="43FDACC7" w14:textId="5619DFA8" w:rsidR="00660DC0" w:rsidRPr="00BA5461" w:rsidRDefault="00660DC0" w:rsidP="00660DC0">
      <w:pPr>
        <w:spacing w:before="240" w:after="240"/>
        <w:rPr>
          <w:lang w:val="en-GB"/>
        </w:rPr>
      </w:pPr>
      <w:bookmarkStart w:id="21" w:name="_Toc94641827"/>
      <w:r w:rsidRPr="00BA5461">
        <w:rPr>
          <w:lang w:val="en-GB"/>
        </w:rPr>
        <w:t xml:space="preserve">The objective of this provision is to ensure that: (1) there are healthy, </w:t>
      </w:r>
      <w:proofErr w:type="gramStart"/>
      <w:r w:rsidRPr="00BA5461">
        <w:rPr>
          <w:lang w:val="en-GB"/>
        </w:rPr>
        <w:t>functional</w:t>
      </w:r>
      <w:proofErr w:type="gramEnd"/>
      <w:r w:rsidRPr="00BA5461">
        <w:rPr>
          <w:lang w:val="en-GB"/>
        </w:rPr>
        <w:t xml:space="preserve"> and viable aquatic and terrestrial ecosystems in the project-affected area that are sustainable over the long-term; (2) biodiversity impacts arising from project activities are managed responsibly; (3) that ongoing or emerging biodiversity issues are identified and addressed.</w:t>
      </w:r>
    </w:p>
    <w:p w14:paraId="6017B0F9" w14:textId="3A865315" w:rsidR="00DD46B3" w:rsidRPr="00BA5461" w:rsidRDefault="00DD46B3" w:rsidP="00DD46B3">
      <w:pPr>
        <w:spacing w:before="240" w:after="240"/>
        <w:rPr>
          <w:lang w:val="en-GB"/>
        </w:rPr>
      </w:pPr>
      <w:r w:rsidRPr="00BA5461">
        <w:rPr>
          <w:lang w:val="en-GB"/>
        </w:rPr>
        <w:t xml:space="preserve">GH2 accreditation and certification </w:t>
      </w:r>
      <w:r w:rsidRPr="00BA5461">
        <w:rPr>
          <w:u w:val="single"/>
          <w:lang w:val="en-GB"/>
        </w:rPr>
        <w:t>requires</w:t>
      </w:r>
      <w:r w:rsidRPr="00BA5461">
        <w:rPr>
          <w:lang w:val="en-GB"/>
        </w:rPr>
        <w:t xml:space="preserve"> that biodiversity issues relevant to project implementation and operation have been identified through an assessment process utilising appropriate expertise; and that monitoring is being undertaken during the project implementation stage appropriate to the identified issues.</w:t>
      </w:r>
    </w:p>
    <w:p w14:paraId="0BA68B1B" w14:textId="32DCD758" w:rsidR="00F43508" w:rsidRPr="00BA5461" w:rsidRDefault="00973EB2" w:rsidP="00F43508">
      <w:pPr>
        <w:pStyle w:val="Heading2"/>
        <w:ind w:left="2552" w:hanging="2552"/>
        <w:rPr>
          <w:lang w:val="en-GB"/>
        </w:rPr>
      </w:pPr>
      <w:r w:rsidRPr="00BA5461">
        <w:rPr>
          <w:lang w:val="en-GB"/>
        </w:rPr>
        <w:t>Requirement</w:t>
      </w:r>
      <w:r w:rsidRPr="00BA5461" w:rsidDel="00973EB2">
        <w:rPr>
          <w:lang w:val="en-GB"/>
        </w:rPr>
        <w:t xml:space="preserve"> </w:t>
      </w:r>
      <w:r w:rsidR="0026035A" w:rsidRPr="00BA5461">
        <w:rPr>
          <w:lang w:val="en-GB"/>
        </w:rPr>
        <w:t>5</w:t>
      </w:r>
      <w:r w:rsidR="00F43508" w:rsidRPr="00BA5461">
        <w:rPr>
          <w:lang w:val="en-GB"/>
        </w:rPr>
        <w:t>E</w:t>
      </w:r>
      <w:r w:rsidR="00F43508" w:rsidRPr="00BA5461">
        <w:rPr>
          <w:lang w:val="en-GB"/>
        </w:rPr>
        <w:tab/>
      </w:r>
      <w:r w:rsidR="0095172C" w:rsidRPr="00BA5461">
        <w:rPr>
          <w:lang w:val="en-GB"/>
        </w:rPr>
        <w:t>Climate change impact and mitigation</w:t>
      </w:r>
      <w:bookmarkEnd w:id="21"/>
    </w:p>
    <w:p w14:paraId="76BC028D" w14:textId="77777777" w:rsidR="00FB7863" w:rsidRPr="00BA5461" w:rsidRDefault="00FB7863" w:rsidP="00FB7863">
      <w:pPr>
        <w:spacing w:before="240" w:after="240"/>
        <w:rPr>
          <w:lang w:val="en-GB"/>
        </w:rPr>
      </w:pPr>
      <w:r w:rsidRPr="00BA5461">
        <w:rPr>
          <w:lang w:val="en-GB"/>
        </w:rPr>
        <w:t xml:space="preserve">The objective of this provision is to demonstrate that green hydrogen is produced from renewable energy sources with close to zero emissions. </w:t>
      </w:r>
    </w:p>
    <w:p w14:paraId="36B5F0EF" w14:textId="5C6FA403" w:rsidR="00556F12" w:rsidRPr="00BA5461" w:rsidRDefault="004D19F1" w:rsidP="004F0883">
      <w:pPr>
        <w:spacing w:before="240" w:after="240"/>
        <w:rPr>
          <w:lang w:val="en-GB"/>
        </w:rPr>
      </w:pPr>
      <w:r w:rsidRPr="00BA5461">
        <w:rPr>
          <w:lang w:val="en-GB"/>
        </w:rPr>
        <w:t xml:space="preserve">The Green Hydrogen Standard </w:t>
      </w:r>
      <w:r w:rsidR="004F0883" w:rsidRPr="00BA5461">
        <w:rPr>
          <w:lang w:val="en-GB"/>
        </w:rPr>
        <w:t xml:space="preserve">requires </w:t>
      </w:r>
      <w:r w:rsidR="00556F12" w:rsidRPr="00BA5461">
        <w:rPr>
          <w:lang w:val="en-GB"/>
        </w:rPr>
        <w:t>independent verification</w:t>
      </w:r>
      <w:r w:rsidR="003F2F0D" w:rsidRPr="00BA5461">
        <w:rPr>
          <w:lang w:val="en-GB"/>
        </w:rPr>
        <w:t xml:space="preserve"> (through the accreditation and certification process)</w:t>
      </w:r>
      <w:r w:rsidR="00556F12" w:rsidRPr="00BA5461">
        <w:rPr>
          <w:lang w:val="en-GB"/>
        </w:rPr>
        <w:t xml:space="preserve"> </w:t>
      </w:r>
      <w:r w:rsidR="004F0883" w:rsidRPr="00BA5461">
        <w:rPr>
          <w:lang w:val="en-GB"/>
        </w:rPr>
        <w:t xml:space="preserve">that </w:t>
      </w:r>
      <w:r w:rsidRPr="00BA5461">
        <w:rPr>
          <w:lang w:val="en-GB"/>
        </w:rPr>
        <w:t xml:space="preserve">green hydrogen production facilities have robust systems </w:t>
      </w:r>
      <w:r w:rsidR="00556F12" w:rsidRPr="00BA5461">
        <w:rPr>
          <w:lang w:val="en-GB"/>
        </w:rPr>
        <w:t xml:space="preserve">to </w:t>
      </w:r>
      <w:proofErr w:type="gramStart"/>
      <w:r w:rsidRPr="00BA5461">
        <w:rPr>
          <w:lang w:val="en-GB"/>
        </w:rPr>
        <w:t>accurately and comprehensively measure the greenhouse gas emissions</w:t>
      </w:r>
      <w:proofErr w:type="gramEnd"/>
      <w:r w:rsidR="00F57B1C">
        <w:rPr>
          <w:lang w:val="en-GB"/>
        </w:rPr>
        <w:t xml:space="preserve"> for production periods </w:t>
      </w:r>
      <w:r w:rsidR="001E14EA">
        <w:rPr>
          <w:lang w:val="en-GB"/>
        </w:rPr>
        <w:t>/</w:t>
      </w:r>
      <w:r w:rsidR="00F57B1C">
        <w:rPr>
          <w:lang w:val="en-GB"/>
        </w:rPr>
        <w:t xml:space="preserve"> shipments</w:t>
      </w:r>
      <w:r w:rsidR="001E14EA">
        <w:rPr>
          <w:lang w:val="en-GB"/>
        </w:rPr>
        <w:t>, including appropriate documentation for the purposes of certification</w:t>
      </w:r>
      <w:r w:rsidRPr="00BA5461">
        <w:rPr>
          <w:lang w:val="en-GB"/>
        </w:rPr>
        <w:t>.</w:t>
      </w:r>
      <w:r w:rsidR="001D491F">
        <w:rPr>
          <w:lang w:val="en-GB"/>
        </w:rPr>
        <w:t xml:space="preserve"> </w:t>
      </w:r>
    </w:p>
    <w:p w14:paraId="7D6F0270" w14:textId="6135AC58" w:rsidR="001366A6" w:rsidRPr="00BA5461" w:rsidRDefault="006A62DA" w:rsidP="009F6068">
      <w:pPr>
        <w:spacing w:before="240" w:after="240"/>
        <w:rPr>
          <w:color w:val="FF0000"/>
          <w:lang w:val="en-GB"/>
        </w:rPr>
      </w:pPr>
      <w:r w:rsidRPr="00BA5461">
        <w:rPr>
          <w:color w:val="FF0000"/>
          <w:lang w:val="en-GB"/>
        </w:rPr>
        <w:t xml:space="preserve">GH2 accreditation and certification </w:t>
      </w:r>
      <w:r w:rsidR="00556F12" w:rsidRPr="00BA5461">
        <w:rPr>
          <w:color w:val="FF0000"/>
          <w:u w:val="single"/>
          <w:lang w:val="en-GB"/>
        </w:rPr>
        <w:t>requires</w:t>
      </w:r>
      <w:r w:rsidR="00556F12" w:rsidRPr="00BA5461">
        <w:rPr>
          <w:color w:val="FF0000"/>
          <w:lang w:val="en-GB"/>
        </w:rPr>
        <w:t xml:space="preserve"> </w:t>
      </w:r>
      <w:r w:rsidR="009F6068" w:rsidRPr="00BA5461">
        <w:rPr>
          <w:color w:val="FF0000"/>
          <w:lang w:val="en-GB"/>
        </w:rPr>
        <w:t xml:space="preserve">that </w:t>
      </w:r>
      <w:r w:rsidR="009F6068" w:rsidRPr="00BA5461">
        <w:rPr>
          <w:b/>
          <w:color w:val="FF0000"/>
          <w:lang w:val="en-GB"/>
        </w:rPr>
        <w:t xml:space="preserve">projects that operate at </w:t>
      </w:r>
      <w:r w:rsidR="009F6068" w:rsidRPr="00BA5461">
        <w:rPr>
          <w:b/>
          <w:bCs/>
          <w:color w:val="FF0000"/>
          <w:lang w:val="en-GB"/>
        </w:rPr>
        <w:t>[&lt;1 kg CO2e per kg H2]</w:t>
      </w:r>
      <w:r w:rsidR="009F6068" w:rsidRPr="00BA5461">
        <w:rPr>
          <w:b/>
          <w:color w:val="FF0000"/>
          <w:lang w:val="en-GB"/>
        </w:rPr>
        <w:t xml:space="preserve"> </w:t>
      </w:r>
      <w:r w:rsidR="00EB52CA" w:rsidRPr="007D23B7">
        <w:rPr>
          <w:bCs/>
          <w:color w:val="FF0000"/>
          <w:lang w:val="en-GB"/>
        </w:rPr>
        <w:t xml:space="preserve">taken as an average over a </w:t>
      </w:r>
      <w:r w:rsidR="00FE36C6" w:rsidRPr="007D23B7">
        <w:rPr>
          <w:bCs/>
          <w:color w:val="FF0000"/>
          <w:lang w:val="en-GB"/>
        </w:rPr>
        <w:t>12-month</w:t>
      </w:r>
      <w:r w:rsidR="00EB52CA" w:rsidRPr="007D23B7">
        <w:rPr>
          <w:bCs/>
          <w:color w:val="FF0000"/>
          <w:lang w:val="en-GB"/>
        </w:rPr>
        <w:t xml:space="preserve"> period </w:t>
      </w:r>
      <w:r w:rsidR="009F6068" w:rsidRPr="007D23B7">
        <w:rPr>
          <w:bCs/>
          <w:color w:val="FF0000"/>
          <w:lang w:val="en-GB"/>
        </w:rPr>
        <w:t>as per the</w:t>
      </w:r>
      <w:r w:rsidR="009F6068" w:rsidRPr="00BA5461">
        <w:rPr>
          <w:b/>
          <w:color w:val="FF0000"/>
          <w:lang w:val="en-GB"/>
        </w:rPr>
        <w:t xml:space="preserve"> </w:t>
      </w:r>
      <w:r w:rsidR="004D19F1" w:rsidRPr="00BA5461">
        <w:rPr>
          <w:color w:val="FF0000"/>
          <w:lang w:val="en-GB"/>
        </w:rPr>
        <w:t xml:space="preserve">electrolysis production pathway </w:t>
      </w:r>
      <w:r w:rsidR="009F6068" w:rsidRPr="00BA5461">
        <w:rPr>
          <w:color w:val="FF0000"/>
          <w:lang w:val="en-GB"/>
        </w:rPr>
        <w:t xml:space="preserve">defined </w:t>
      </w:r>
      <w:r w:rsidR="004D19F1" w:rsidRPr="00BA5461">
        <w:rPr>
          <w:color w:val="FF0000"/>
          <w:lang w:val="en-GB"/>
        </w:rPr>
        <w:t xml:space="preserve">by the International Partnership for Hydrogen and Fuel Cells in the Economy (IPHE) as outlined in the </w:t>
      </w:r>
      <w:r w:rsidR="004D19F1" w:rsidRPr="00BA5461">
        <w:rPr>
          <w:i/>
          <w:color w:val="FF0000"/>
          <w:lang w:val="en-GB"/>
        </w:rPr>
        <w:t>Working Paper Methodology for Determining the Greenhouse Gas Emissions Associated with the Production of Hydrogen</w:t>
      </w:r>
      <w:r w:rsidR="001A3B97" w:rsidRPr="00BA5461">
        <w:rPr>
          <w:color w:val="FF0000"/>
          <w:lang w:val="en-GB"/>
        </w:rPr>
        <w:t xml:space="preserve"> </w:t>
      </w:r>
      <w:r w:rsidR="00547E8B" w:rsidRPr="00BA5461">
        <w:rPr>
          <w:color w:val="FF0000"/>
          <w:lang w:val="en-GB"/>
        </w:rPr>
        <w:t>(see Policy Note 1)</w:t>
      </w:r>
      <w:r w:rsidR="00262890" w:rsidRPr="00BA5461">
        <w:rPr>
          <w:color w:val="FF0000"/>
          <w:lang w:val="en-GB"/>
        </w:rPr>
        <w:t>.</w:t>
      </w:r>
      <w:r w:rsidR="004D19F1" w:rsidRPr="00BA5461">
        <w:rPr>
          <w:rStyle w:val="FootnoteReference"/>
          <w:color w:val="FF0000"/>
          <w:lang w:val="en-GB"/>
        </w:rPr>
        <w:footnoteReference w:id="15"/>
      </w:r>
      <w:r w:rsidR="004D19F1" w:rsidRPr="00BA5461">
        <w:rPr>
          <w:color w:val="FF0000"/>
          <w:lang w:val="en-GB"/>
        </w:rPr>
        <w:t xml:space="preserve"> </w:t>
      </w:r>
    </w:p>
    <w:p w14:paraId="7E8DC320" w14:textId="33789B90" w:rsidR="00FB7863" w:rsidRPr="00BA5461" w:rsidRDefault="00B168AB" w:rsidP="00FB7863">
      <w:pPr>
        <w:rPr>
          <w:color w:val="FF0000"/>
          <w:lang w:val="en-GB"/>
        </w:rPr>
      </w:pPr>
      <w:r w:rsidRPr="00BA5461">
        <w:rPr>
          <w:color w:val="FF0000"/>
          <w:lang w:val="en-GB"/>
        </w:rPr>
        <w:t xml:space="preserve">In addition, </w:t>
      </w:r>
      <w:r w:rsidR="006A62DA" w:rsidRPr="00BA5461">
        <w:rPr>
          <w:color w:val="FF0000"/>
          <w:lang w:val="en-GB"/>
        </w:rPr>
        <w:t xml:space="preserve">GH2 accreditation and certification </w:t>
      </w:r>
      <w:r w:rsidR="00FB7863" w:rsidRPr="00BA5461">
        <w:rPr>
          <w:color w:val="FF0000"/>
          <w:u w:val="single"/>
          <w:lang w:val="en-GB"/>
        </w:rPr>
        <w:t>expects</w:t>
      </w:r>
      <w:r w:rsidR="00FB7863" w:rsidRPr="00BA5461">
        <w:rPr>
          <w:color w:val="FF0000"/>
          <w:lang w:val="en-GB"/>
        </w:rPr>
        <w:t xml:space="preserve"> project </w:t>
      </w:r>
      <w:r w:rsidR="00AE5713" w:rsidRPr="00BA5461">
        <w:rPr>
          <w:color w:val="FF0000"/>
          <w:lang w:val="en-GB"/>
        </w:rPr>
        <w:t>operator</w:t>
      </w:r>
      <w:r w:rsidR="00FB7863" w:rsidRPr="00BA5461">
        <w:rPr>
          <w:color w:val="FF0000"/>
          <w:lang w:val="en-GB"/>
        </w:rPr>
        <w:t xml:space="preserve">s to calculate and report on the indirect GHG emissions associated with H2 production processes (e.g., relating to water use and waste disposal), and the emissions associated with the storage, </w:t>
      </w:r>
      <w:proofErr w:type="gramStart"/>
      <w:r w:rsidR="00FB7863" w:rsidRPr="00BA5461">
        <w:rPr>
          <w:color w:val="FF0000"/>
          <w:lang w:val="en-GB"/>
        </w:rPr>
        <w:t>conversion</w:t>
      </w:r>
      <w:proofErr w:type="gramEnd"/>
      <w:r w:rsidR="00FB7863" w:rsidRPr="00BA5461">
        <w:rPr>
          <w:color w:val="FF0000"/>
          <w:lang w:val="en-GB"/>
        </w:rPr>
        <w:t xml:space="preserve"> and delivery of H2 and its derivatives. GH2 will develop methods and thresholds with a view these becoming a requirement for accreditation and certification by 31 December 2023. </w:t>
      </w:r>
    </w:p>
    <w:p w14:paraId="1F83A501" w14:textId="34F4B2E3" w:rsidR="00FB7863" w:rsidRPr="00BA5461" w:rsidRDefault="00FB7863" w:rsidP="00FB7863">
      <w:pPr>
        <w:rPr>
          <w:color w:val="FF0000"/>
          <w:lang w:val="en-GB"/>
        </w:rPr>
      </w:pPr>
      <w:r w:rsidRPr="00BA5461">
        <w:rPr>
          <w:color w:val="FF0000"/>
          <w:lang w:val="en-GB"/>
        </w:rPr>
        <w:t xml:space="preserve">GH2 also encourages project </w:t>
      </w:r>
      <w:r w:rsidR="00AE5713" w:rsidRPr="00BA5461">
        <w:rPr>
          <w:color w:val="FF0000"/>
          <w:lang w:val="en-GB"/>
        </w:rPr>
        <w:t>operator</w:t>
      </w:r>
      <w:r w:rsidRPr="00BA5461">
        <w:rPr>
          <w:color w:val="FF0000"/>
          <w:lang w:val="en-GB"/>
        </w:rPr>
        <w:t>s to calculate and report on the embodied emissions associated with green hydrogen production, including embodied emissions associated with: (</w:t>
      </w:r>
      <w:proofErr w:type="spellStart"/>
      <w:r w:rsidRPr="00BA5461">
        <w:rPr>
          <w:color w:val="FF0000"/>
          <w:lang w:val="en-GB"/>
        </w:rPr>
        <w:t>i</w:t>
      </w:r>
      <w:proofErr w:type="spellEnd"/>
      <w:r w:rsidRPr="00BA5461">
        <w:rPr>
          <w:color w:val="FF0000"/>
          <w:lang w:val="en-GB"/>
        </w:rPr>
        <w:t xml:space="preserve">) purchased energy (grid) and energy produced on site (off grid); (ii) construction of H2 production facilities, and (iii) construction of storage, </w:t>
      </w:r>
      <w:proofErr w:type="gramStart"/>
      <w:r w:rsidRPr="00BA5461">
        <w:rPr>
          <w:color w:val="FF0000"/>
          <w:lang w:val="en-GB"/>
        </w:rPr>
        <w:t>conversion</w:t>
      </w:r>
      <w:proofErr w:type="gramEnd"/>
      <w:r w:rsidRPr="00BA5461">
        <w:rPr>
          <w:color w:val="FF0000"/>
          <w:lang w:val="en-GB"/>
        </w:rPr>
        <w:t xml:space="preserve"> and delivery infrastructure. GH2 will collaborate with partner organizations to develop and apply methods consistently to all energy providers.</w:t>
      </w:r>
    </w:p>
    <w:p w14:paraId="7A2A2176" w14:textId="0A097996" w:rsidR="00FB7863" w:rsidRPr="00BA5461" w:rsidRDefault="00FB7863" w:rsidP="00FB7863">
      <w:pPr>
        <w:pBdr>
          <w:top w:val="single" w:sz="4" w:space="1" w:color="auto"/>
          <w:left w:val="single" w:sz="4" w:space="4" w:color="auto"/>
          <w:bottom w:val="single" w:sz="4" w:space="1" w:color="auto"/>
          <w:right w:val="single" w:sz="4" w:space="4" w:color="auto"/>
        </w:pBdr>
        <w:shd w:val="clear" w:color="auto" w:fill="A8D08D" w:themeFill="accent6" w:themeFillTint="99"/>
        <w:spacing w:before="240" w:after="240"/>
        <w:rPr>
          <w:color w:val="FF0000"/>
          <w:lang w:val="en-GB"/>
        </w:rPr>
      </w:pPr>
      <w:r w:rsidRPr="00BA5461">
        <w:rPr>
          <w:color w:val="FF0000"/>
          <w:lang w:val="en-GB"/>
        </w:rPr>
        <w:lastRenderedPageBreak/>
        <w:t>The GH2 Board will review the performance of GH2 accredited projects on an annual basis, with the expectation that th</w:t>
      </w:r>
      <w:r w:rsidR="005A2293" w:rsidRPr="00BA5461">
        <w:rPr>
          <w:color w:val="FF0000"/>
          <w:lang w:val="en-GB"/>
        </w:rPr>
        <w:t>e</w:t>
      </w:r>
      <w:r w:rsidRPr="00BA5461">
        <w:rPr>
          <w:color w:val="FF0000"/>
          <w:lang w:val="en-GB"/>
        </w:rPr>
        <w:t xml:space="preserve"> </w:t>
      </w:r>
      <w:r w:rsidR="004D6C00" w:rsidRPr="00BA5461">
        <w:rPr>
          <w:color w:val="FF0000"/>
          <w:lang w:val="en-GB"/>
        </w:rPr>
        <w:t xml:space="preserve">boundaries of the emissions assessment </w:t>
      </w:r>
      <w:r w:rsidR="00064562" w:rsidRPr="00BA5461">
        <w:rPr>
          <w:color w:val="FF0000"/>
          <w:lang w:val="en-GB"/>
        </w:rPr>
        <w:t xml:space="preserve">framework </w:t>
      </w:r>
      <w:r w:rsidR="004D6C00" w:rsidRPr="00BA5461">
        <w:rPr>
          <w:color w:val="FF0000"/>
          <w:lang w:val="en-GB"/>
        </w:rPr>
        <w:t>can be widened, and</w:t>
      </w:r>
      <w:r w:rsidR="00064562" w:rsidRPr="00BA5461">
        <w:rPr>
          <w:color w:val="FF0000"/>
          <w:lang w:val="en-GB"/>
        </w:rPr>
        <w:t xml:space="preserve"> that the emissions </w:t>
      </w:r>
      <w:r w:rsidR="007757E8" w:rsidRPr="00BA5461">
        <w:rPr>
          <w:color w:val="FF0000"/>
          <w:lang w:val="en-GB"/>
        </w:rPr>
        <w:t xml:space="preserve">thresholds </w:t>
      </w:r>
      <w:r w:rsidRPr="00BA5461">
        <w:rPr>
          <w:color w:val="FF0000"/>
          <w:lang w:val="en-GB"/>
        </w:rPr>
        <w:t>can be lowered</w:t>
      </w:r>
      <w:r w:rsidR="00064562" w:rsidRPr="00BA5461">
        <w:rPr>
          <w:color w:val="FF0000"/>
          <w:lang w:val="en-GB"/>
        </w:rPr>
        <w:t xml:space="preserve"> in accordance with emerging best practice</w:t>
      </w:r>
      <w:r w:rsidRPr="00BA5461">
        <w:rPr>
          <w:color w:val="FF0000"/>
          <w:lang w:val="en-GB"/>
        </w:rPr>
        <w:t>.</w:t>
      </w:r>
    </w:p>
    <w:p w14:paraId="49C01DFC" w14:textId="3D52A939" w:rsidR="001D6B62" w:rsidRPr="00BA5461" w:rsidRDefault="00973EB2" w:rsidP="00D20C1A">
      <w:pPr>
        <w:pStyle w:val="Heading1"/>
        <w:ind w:left="2552" w:hanging="2552"/>
        <w:rPr>
          <w:lang w:val="en-GB"/>
        </w:rPr>
      </w:pPr>
      <w:bookmarkStart w:id="22" w:name="_Toc94641828"/>
      <w:r w:rsidRPr="00BA5461">
        <w:rPr>
          <w:lang w:val="en-GB"/>
        </w:rPr>
        <w:t xml:space="preserve">Requirement </w:t>
      </w:r>
      <w:r w:rsidR="0026035A" w:rsidRPr="00BA5461">
        <w:rPr>
          <w:lang w:val="en-GB"/>
        </w:rPr>
        <w:t>6</w:t>
      </w:r>
      <w:r w:rsidR="001D6B62" w:rsidRPr="00BA5461">
        <w:rPr>
          <w:lang w:val="en-GB"/>
        </w:rPr>
        <w:tab/>
      </w:r>
      <w:r w:rsidR="00C26973" w:rsidRPr="00BA5461">
        <w:rPr>
          <w:lang w:val="en-GB"/>
        </w:rPr>
        <w:t>Health and Safety</w:t>
      </w:r>
      <w:bookmarkEnd w:id="22"/>
    </w:p>
    <w:p w14:paraId="425E8C28" w14:textId="097F68C3" w:rsidR="006A62DA" w:rsidRPr="00BA5461" w:rsidRDefault="006A62DA" w:rsidP="006C7DAA">
      <w:pPr>
        <w:spacing w:before="240" w:after="240"/>
        <w:rPr>
          <w:lang w:val="en-GB"/>
        </w:rPr>
      </w:pPr>
      <w:r w:rsidRPr="00BA5461">
        <w:rPr>
          <w:lang w:val="en-GB"/>
        </w:rPr>
        <w:t xml:space="preserve">The objective of this provision is to demonstrate that </w:t>
      </w:r>
      <w:r w:rsidR="006C7DAA" w:rsidRPr="00BA5461">
        <w:rPr>
          <w:lang w:val="en-GB"/>
        </w:rPr>
        <w:t>the livelihoods and living standards impacted by the project are improved relative to pre-project conditions for</w:t>
      </w:r>
      <w:r w:rsidR="00013F8E" w:rsidRPr="00BA5461">
        <w:rPr>
          <w:lang w:val="en-GB"/>
        </w:rPr>
        <w:t xml:space="preserve"> </w:t>
      </w:r>
      <w:r w:rsidR="006C7DAA" w:rsidRPr="00BA5461">
        <w:rPr>
          <w:lang w:val="en-GB"/>
        </w:rPr>
        <w:t xml:space="preserve">project-affected communities; and </w:t>
      </w:r>
      <w:r w:rsidR="001D327C" w:rsidRPr="00BA5461">
        <w:rPr>
          <w:lang w:val="en-GB"/>
        </w:rPr>
        <w:t xml:space="preserve">that </w:t>
      </w:r>
      <w:r w:rsidR="006C7DAA" w:rsidRPr="00BA5461">
        <w:rPr>
          <w:lang w:val="en-GB"/>
        </w:rPr>
        <w:t>life, property and community assets and resources are protected from the consequences</w:t>
      </w:r>
      <w:r w:rsidR="001D327C" w:rsidRPr="00BA5461">
        <w:rPr>
          <w:lang w:val="en-GB"/>
        </w:rPr>
        <w:t xml:space="preserve"> </w:t>
      </w:r>
      <w:r w:rsidR="006C7DAA" w:rsidRPr="00BA5461">
        <w:rPr>
          <w:lang w:val="en-GB"/>
        </w:rPr>
        <w:t xml:space="preserve">of </w:t>
      </w:r>
      <w:r w:rsidR="00AE438B" w:rsidRPr="00BA5461">
        <w:rPr>
          <w:lang w:val="en-GB"/>
        </w:rPr>
        <w:t xml:space="preserve">any infrastructure and operational </w:t>
      </w:r>
      <w:r w:rsidR="006C7DAA" w:rsidRPr="00BA5461">
        <w:rPr>
          <w:lang w:val="en-GB"/>
        </w:rPr>
        <w:t>safety risks.</w:t>
      </w:r>
    </w:p>
    <w:p w14:paraId="6A4B32E6" w14:textId="288A2B10" w:rsidR="001D6B62" w:rsidRPr="00BA5461" w:rsidRDefault="006A62DA" w:rsidP="00A43F44">
      <w:pPr>
        <w:spacing w:before="240" w:after="240"/>
        <w:rPr>
          <w:lang w:val="en-GB"/>
        </w:rPr>
      </w:pPr>
      <w:r w:rsidRPr="00BA5461">
        <w:rPr>
          <w:lang w:val="en-GB"/>
        </w:rPr>
        <w:t xml:space="preserve">GH2 accreditation and certification </w:t>
      </w:r>
      <w:r w:rsidR="00A43F44" w:rsidRPr="00BA5461">
        <w:rPr>
          <w:u w:val="single"/>
          <w:lang w:val="en-GB"/>
        </w:rPr>
        <w:t>expects</w:t>
      </w:r>
      <w:r w:rsidR="00A43F44" w:rsidRPr="00BA5461">
        <w:rPr>
          <w:lang w:val="en-GB"/>
        </w:rPr>
        <w:t xml:space="preserve"> project </w:t>
      </w:r>
      <w:r w:rsidR="00AE5713" w:rsidRPr="00BA5461">
        <w:rPr>
          <w:lang w:val="en-GB"/>
        </w:rPr>
        <w:t>operator</w:t>
      </w:r>
      <w:r w:rsidR="00A43F44" w:rsidRPr="00BA5461">
        <w:rPr>
          <w:lang w:val="en-GB"/>
        </w:rPr>
        <w:t xml:space="preserve">s </w:t>
      </w:r>
      <w:r w:rsidRPr="00BA5461">
        <w:rPr>
          <w:lang w:val="en-GB"/>
        </w:rPr>
        <w:t xml:space="preserve">to have undertaken an </w:t>
      </w:r>
      <w:r w:rsidR="00A43F44" w:rsidRPr="00BA5461">
        <w:rPr>
          <w:lang w:val="en-GB"/>
        </w:rPr>
        <w:t xml:space="preserve">assessment </w:t>
      </w:r>
      <w:r w:rsidRPr="00BA5461">
        <w:rPr>
          <w:lang w:val="en-GB"/>
        </w:rPr>
        <w:t xml:space="preserve">of </w:t>
      </w:r>
      <w:r w:rsidR="00A43F44" w:rsidRPr="00BA5461">
        <w:rPr>
          <w:lang w:val="en-GB"/>
        </w:rPr>
        <w:t>human</w:t>
      </w:r>
      <w:r w:rsidRPr="00BA5461">
        <w:rPr>
          <w:lang w:val="en-GB"/>
        </w:rPr>
        <w:t xml:space="preserve"> </w:t>
      </w:r>
      <w:r w:rsidR="00A43F44" w:rsidRPr="00BA5461">
        <w:rPr>
          <w:lang w:val="en-GB"/>
        </w:rPr>
        <w:t>resource and labour management requirements for</w:t>
      </w:r>
      <w:r w:rsidRPr="00BA5461">
        <w:rPr>
          <w:lang w:val="en-GB"/>
        </w:rPr>
        <w:t xml:space="preserve"> </w:t>
      </w:r>
      <w:r w:rsidR="00A43F44" w:rsidRPr="00BA5461">
        <w:rPr>
          <w:lang w:val="en-GB"/>
        </w:rPr>
        <w:t>the project, including project occupational health</w:t>
      </w:r>
      <w:r w:rsidRPr="00BA5461">
        <w:rPr>
          <w:lang w:val="en-GB"/>
        </w:rPr>
        <w:t xml:space="preserve"> </w:t>
      </w:r>
      <w:r w:rsidR="00A43F44" w:rsidRPr="00BA5461">
        <w:rPr>
          <w:lang w:val="en-GB"/>
        </w:rPr>
        <w:t>and safety (OH&amp;S) issues, risks, and management</w:t>
      </w:r>
      <w:r w:rsidRPr="00BA5461">
        <w:rPr>
          <w:lang w:val="en-GB"/>
        </w:rPr>
        <w:t xml:space="preserve"> </w:t>
      </w:r>
      <w:r w:rsidR="00A43F44" w:rsidRPr="00BA5461">
        <w:rPr>
          <w:lang w:val="en-GB"/>
        </w:rPr>
        <w:t>measures</w:t>
      </w:r>
      <w:r w:rsidRPr="00BA5461">
        <w:rPr>
          <w:lang w:val="en-GB"/>
        </w:rPr>
        <w:t xml:space="preserve">. </w:t>
      </w:r>
    </w:p>
    <w:p w14:paraId="61EC800A" w14:textId="2AA0EAE5" w:rsidR="001D6B62" w:rsidRPr="00BA5461" w:rsidRDefault="00973EB2" w:rsidP="00D20C1A">
      <w:pPr>
        <w:pStyle w:val="Heading1"/>
        <w:ind w:left="2552" w:hanging="2552"/>
        <w:rPr>
          <w:lang w:val="en-GB"/>
        </w:rPr>
      </w:pPr>
      <w:bookmarkStart w:id="23" w:name="_Toc94641829"/>
      <w:r w:rsidRPr="00BA5461">
        <w:rPr>
          <w:rStyle w:val="Heading1Char"/>
          <w:lang w:val="en-GB"/>
        </w:rPr>
        <w:t xml:space="preserve">Requirement </w:t>
      </w:r>
      <w:r w:rsidR="0026035A" w:rsidRPr="00BA5461">
        <w:rPr>
          <w:rStyle w:val="Heading1Char"/>
          <w:lang w:val="en-GB"/>
        </w:rPr>
        <w:t>7</w:t>
      </w:r>
      <w:r w:rsidR="001D6B62" w:rsidRPr="00BA5461">
        <w:rPr>
          <w:rStyle w:val="Heading1Char"/>
          <w:lang w:val="en-GB"/>
        </w:rPr>
        <w:tab/>
      </w:r>
      <w:r w:rsidR="00C26973" w:rsidRPr="00BA5461">
        <w:rPr>
          <w:rStyle w:val="Heading1Char"/>
          <w:lang w:val="en-GB"/>
        </w:rPr>
        <w:t xml:space="preserve">Governance, </w:t>
      </w:r>
      <w:proofErr w:type="gramStart"/>
      <w:r w:rsidR="00C26973" w:rsidRPr="00BA5461">
        <w:rPr>
          <w:rStyle w:val="Heading1Char"/>
          <w:lang w:val="en-GB"/>
        </w:rPr>
        <w:t>transparency</w:t>
      </w:r>
      <w:proofErr w:type="gramEnd"/>
      <w:r w:rsidR="00C26973" w:rsidRPr="00BA5461">
        <w:rPr>
          <w:rStyle w:val="Heading1Char"/>
          <w:lang w:val="en-GB"/>
        </w:rPr>
        <w:t xml:space="preserve"> and accountability</w:t>
      </w:r>
      <w:bookmarkEnd w:id="23"/>
    </w:p>
    <w:p w14:paraId="31DE1112" w14:textId="2DEEC51F" w:rsidR="00362382" w:rsidRPr="00BA5461" w:rsidRDefault="00362382" w:rsidP="00362382">
      <w:pPr>
        <w:spacing w:before="240" w:after="240"/>
        <w:rPr>
          <w:color w:val="FF0000"/>
          <w:lang w:val="en-GB"/>
        </w:rPr>
      </w:pPr>
      <w:r w:rsidRPr="00BA5461">
        <w:rPr>
          <w:color w:val="FF0000"/>
          <w:lang w:val="en-GB"/>
        </w:rPr>
        <w:t xml:space="preserve">1. </w:t>
      </w:r>
      <w:r w:rsidRPr="00BA5461">
        <w:rPr>
          <w:b/>
          <w:bCs/>
          <w:color w:val="FF0000"/>
          <w:lang w:val="en-GB"/>
        </w:rPr>
        <w:t>General</w:t>
      </w:r>
      <w:r w:rsidRPr="00BA5461">
        <w:rPr>
          <w:color w:val="FF0000"/>
          <w:lang w:val="en-GB"/>
        </w:rPr>
        <w:t xml:space="preserve">. </w:t>
      </w:r>
      <w:r w:rsidR="005D7AE3" w:rsidRPr="005D7AE3">
        <w:rPr>
          <w:color w:val="FF0000"/>
          <w:lang w:val="en-GB"/>
        </w:rPr>
        <w:t xml:space="preserve">GH2 accreditation and certification </w:t>
      </w:r>
      <w:r w:rsidR="005D7AE3" w:rsidRPr="005D7AE3">
        <w:rPr>
          <w:color w:val="FF0000"/>
          <w:u w:val="single"/>
          <w:lang w:val="en-GB"/>
        </w:rPr>
        <w:t>requires</w:t>
      </w:r>
      <w:r w:rsidR="005D7AE3" w:rsidRPr="005D7AE3">
        <w:rPr>
          <w:color w:val="FF0000"/>
          <w:lang w:val="en-GB"/>
        </w:rPr>
        <w:t xml:space="preserve"> that </w:t>
      </w:r>
      <w:r w:rsidRPr="00BA5461">
        <w:rPr>
          <w:color w:val="FF0000"/>
          <w:lang w:val="en-GB"/>
        </w:rPr>
        <w:t>he p</w:t>
      </w:r>
      <w:r w:rsidR="00F25647" w:rsidRPr="00BA5461">
        <w:rPr>
          <w:color w:val="FF0000"/>
          <w:lang w:val="en-GB"/>
        </w:rPr>
        <w:t xml:space="preserve">roject </w:t>
      </w:r>
      <w:r w:rsidR="00AE5713" w:rsidRPr="00BA5461">
        <w:rPr>
          <w:color w:val="FF0000"/>
          <w:lang w:val="en-GB"/>
        </w:rPr>
        <w:t>operator</w:t>
      </w:r>
      <w:r w:rsidR="00F25647" w:rsidRPr="00BA5461">
        <w:rPr>
          <w:color w:val="FF0000"/>
          <w:lang w:val="en-GB"/>
        </w:rPr>
        <w:t xml:space="preserve"> </w:t>
      </w:r>
      <w:r w:rsidRPr="00BA5461">
        <w:rPr>
          <w:color w:val="FF0000"/>
          <w:lang w:val="en-GB"/>
        </w:rPr>
        <w:t xml:space="preserve">has sound corporate business structures, </w:t>
      </w:r>
      <w:proofErr w:type="gramStart"/>
      <w:r w:rsidRPr="00BA5461">
        <w:rPr>
          <w:color w:val="FF0000"/>
          <w:lang w:val="en-GB"/>
        </w:rPr>
        <w:t>policies</w:t>
      </w:r>
      <w:proofErr w:type="gramEnd"/>
      <w:r w:rsidRPr="00BA5461">
        <w:rPr>
          <w:color w:val="FF0000"/>
          <w:lang w:val="en-GB"/>
        </w:rPr>
        <w:t xml:space="preserve"> and practices; addresses transparency, integrity</w:t>
      </w:r>
      <w:r w:rsidR="00F25647" w:rsidRPr="00BA5461">
        <w:rPr>
          <w:color w:val="FF0000"/>
          <w:lang w:val="en-GB"/>
        </w:rPr>
        <w:t xml:space="preserve"> </w:t>
      </w:r>
      <w:r w:rsidRPr="00BA5461">
        <w:rPr>
          <w:color w:val="FF0000"/>
          <w:lang w:val="en-GB"/>
        </w:rPr>
        <w:t>and accountability issues; can manage external governance issues (e.g.</w:t>
      </w:r>
      <w:r w:rsidR="0065251B">
        <w:rPr>
          <w:color w:val="FF0000"/>
          <w:lang w:val="en-GB"/>
        </w:rPr>
        <w:t>,</w:t>
      </w:r>
      <w:r w:rsidRPr="00BA5461">
        <w:rPr>
          <w:color w:val="FF0000"/>
          <w:lang w:val="en-GB"/>
        </w:rPr>
        <w:t xml:space="preserve"> institutional capacity shortfalls, political risks including</w:t>
      </w:r>
      <w:r w:rsidR="00F25647" w:rsidRPr="00BA5461">
        <w:rPr>
          <w:color w:val="FF0000"/>
          <w:lang w:val="en-GB"/>
        </w:rPr>
        <w:t xml:space="preserve"> </w:t>
      </w:r>
      <w:r w:rsidRPr="00BA5461">
        <w:rPr>
          <w:color w:val="FF0000"/>
          <w:lang w:val="en-GB"/>
        </w:rPr>
        <w:t>transboundary issues, public sector corruption risks); can ensure compliance; and procurement processes are equitable,</w:t>
      </w:r>
      <w:r w:rsidR="00F25647" w:rsidRPr="00BA5461">
        <w:rPr>
          <w:color w:val="FF0000"/>
          <w:lang w:val="en-GB"/>
        </w:rPr>
        <w:t xml:space="preserve"> </w:t>
      </w:r>
      <w:r w:rsidRPr="00BA5461">
        <w:rPr>
          <w:color w:val="FF0000"/>
          <w:lang w:val="en-GB"/>
        </w:rPr>
        <w:t>transparent and accountable</w:t>
      </w:r>
      <w:r w:rsidR="00F25647" w:rsidRPr="00BA5461">
        <w:rPr>
          <w:color w:val="FF0000"/>
          <w:lang w:val="en-GB"/>
        </w:rPr>
        <w:t>.</w:t>
      </w:r>
    </w:p>
    <w:p w14:paraId="0ECFC095" w14:textId="62CB8057" w:rsidR="0088064F" w:rsidRPr="00BA5461" w:rsidRDefault="00362382" w:rsidP="00A61160">
      <w:pPr>
        <w:spacing w:before="240" w:after="240"/>
        <w:rPr>
          <w:color w:val="FF0000"/>
          <w:lang w:val="en-GB"/>
        </w:rPr>
      </w:pPr>
      <w:r w:rsidRPr="00BA5461">
        <w:rPr>
          <w:color w:val="FF0000"/>
          <w:lang w:val="en-GB"/>
        </w:rPr>
        <w:t>2</w:t>
      </w:r>
      <w:r w:rsidR="0091487B" w:rsidRPr="00BA5461">
        <w:rPr>
          <w:color w:val="FF0000"/>
          <w:lang w:val="en-GB"/>
        </w:rPr>
        <w:t xml:space="preserve">. </w:t>
      </w:r>
      <w:r w:rsidR="0091487B" w:rsidRPr="00BA5461">
        <w:rPr>
          <w:b/>
          <w:bCs/>
          <w:color w:val="FF0000"/>
          <w:lang w:val="en-GB"/>
        </w:rPr>
        <w:t>Anti-corruption compliance</w:t>
      </w:r>
      <w:r w:rsidR="0091487B" w:rsidRPr="00BA5461">
        <w:rPr>
          <w:color w:val="FF0000"/>
          <w:lang w:val="en-GB"/>
        </w:rPr>
        <w:t xml:space="preserve">. Corruption deprives communities of the benefits that should flow from the development of natural resources and undermines decision making. </w:t>
      </w:r>
      <w:r w:rsidR="000E6F30" w:rsidRPr="00BA5461">
        <w:rPr>
          <w:color w:val="FF0000"/>
          <w:lang w:val="en-GB"/>
        </w:rPr>
        <w:t xml:space="preserve">GH2 accreditation and certification </w:t>
      </w:r>
      <w:r w:rsidR="000E6F30" w:rsidRPr="00BA5461">
        <w:rPr>
          <w:color w:val="FF0000"/>
          <w:u w:val="single"/>
          <w:lang w:val="en-GB"/>
        </w:rPr>
        <w:t>requires</w:t>
      </w:r>
      <w:r w:rsidR="00E907E5" w:rsidRPr="00BA5461">
        <w:rPr>
          <w:color w:val="FF0000"/>
          <w:lang w:val="en-GB"/>
        </w:rPr>
        <w:t xml:space="preserve"> that the project </w:t>
      </w:r>
      <w:r w:rsidR="00AE5713" w:rsidRPr="00BA5461">
        <w:rPr>
          <w:color w:val="FF0000"/>
          <w:lang w:val="en-GB"/>
        </w:rPr>
        <w:t>operator</w:t>
      </w:r>
      <w:r w:rsidR="00E907E5" w:rsidRPr="00BA5461">
        <w:rPr>
          <w:color w:val="FF0000"/>
          <w:lang w:val="en-GB"/>
        </w:rPr>
        <w:t xml:space="preserve"> establishes </w:t>
      </w:r>
      <w:r w:rsidR="000274C1" w:rsidRPr="00BA5461">
        <w:rPr>
          <w:color w:val="FF0000"/>
          <w:lang w:val="en-GB"/>
        </w:rPr>
        <w:t xml:space="preserve">codes of conduct and </w:t>
      </w:r>
      <w:r w:rsidR="00DD4D01" w:rsidRPr="00BA5461">
        <w:rPr>
          <w:color w:val="FF0000"/>
          <w:lang w:val="en-GB"/>
        </w:rPr>
        <w:t>anti-corruption standard</w:t>
      </w:r>
      <w:r w:rsidR="000274C1" w:rsidRPr="00BA5461">
        <w:rPr>
          <w:color w:val="FF0000"/>
          <w:lang w:val="en-GB"/>
        </w:rPr>
        <w:t>s</w:t>
      </w:r>
      <w:r w:rsidR="00DD4D01" w:rsidRPr="00BA5461">
        <w:rPr>
          <w:color w:val="FF0000"/>
          <w:lang w:val="en-GB"/>
        </w:rPr>
        <w:t xml:space="preserve"> </w:t>
      </w:r>
      <w:r w:rsidR="000274C1" w:rsidRPr="00BA5461">
        <w:rPr>
          <w:color w:val="FF0000"/>
          <w:lang w:val="en-GB"/>
        </w:rPr>
        <w:t xml:space="preserve">that </w:t>
      </w:r>
      <w:r w:rsidR="00DD4D01" w:rsidRPr="00BA5461">
        <w:rPr>
          <w:color w:val="FF0000"/>
          <w:lang w:val="en-GB"/>
        </w:rPr>
        <w:t>clearly prohibit bribery and corruption</w:t>
      </w:r>
      <w:r w:rsidR="000274C1" w:rsidRPr="00BA5461">
        <w:rPr>
          <w:color w:val="FF0000"/>
          <w:lang w:val="en-GB"/>
        </w:rPr>
        <w:t xml:space="preserve">, including </w:t>
      </w:r>
      <w:r w:rsidR="00DD4D01" w:rsidRPr="00BA5461">
        <w:rPr>
          <w:color w:val="FF0000"/>
          <w:lang w:val="en-GB"/>
        </w:rPr>
        <w:t xml:space="preserve">facilitation payments to government officials to obtain routine services. </w:t>
      </w:r>
      <w:r w:rsidR="000274C1" w:rsidRPr="00BA5461">
        <w:rPr>
          <w:color w:val="FF0000"/>
          <w:lang w:val="en-GB"/>
        </w:rPr>
        <w:t>The standards should address the obligations for employees and contractors</w:t>
      </w:r>
      <w:r w:rsidR="002D7268" w:rsidRPr="00BA5461">
        <w:rPr>
          <w:color w:val="FF0000"/>
          <w:lang w:val="en-GB"/>
        </w:rPr>
        <w:t xml:space="preserve"> and include a risk-based system for </w:t>
      </w:r>
      <w:r w:rsidR="00673BBD" w:rsidRPr="00BA5461">
        <w:rPr>
          <w:color w:val="FF0000"/>
          <w:lang w:val="en-GB"/>
        </w:rPr>
        <w:t>due diligence. P</w:t>
      </w:r>
      <w:r w:rsidR="00A61160" w:rsidRPr="00BA5461">
        <w:rPr>
          <w:color w:val="FF0000"/>
          <w:lang w:val="en-GB"/>
        </w:rPr>
        <w:t xml:space="preserve">roject </w:t>
      </w:r>
      <w:r w:rsidR="00AE5713" w:rsidRPr="00BA5461">
        <w:rPr>
          <w:color w:val="FF0000"/>
          <w:lang w:val="en-GB"/>
        </w:rPr>
        <w:t>operator</w:t>
      </w:r>
      <w:r w:rsidR="00A61160" w:rsidRPr="00BA5461">
        <w:rPr>
          <w:color w:val="FF0000"/>
          <w:lang w:val="en-GB"/>
        </w:rPr>
        <w:t xml:space="preserve">s are </w:t>
      </w:r>
      <w:r w:rsidR="00A61160" w:rsidRPr="00BA5461">
        <w:rPr>
          <w:color w:val="FF0000"/>
          <w:u w:val="single"/>
          <w:lang w:val="en-GB"/>
        </w:rPr>
        <w:t>encouraged</w:t>
      </w:r>
      <w:r w:rsidR="00A61160" w:rsidRPr="00BA5461">
        <w:rPr>
          <w:color w:val="FF0000"/>
          <w:lang w:val="en-GB"/>
        </w:rPr>
        <w:t xml:space="preserve"> to </w:t>
      </w:r>
      <w:r w:rsidR="00DD4D01" w:rsidRPr="00BA5461">
        <w:rPr>
          <w:color w:val="FF0000"/>
          <w:lang w:val="en-GB"/>
        </w:rPr>
        <w:t>incorporate anti-corruption compliance into business key performance indicators that ultimately determine employee remuneration.</w:t>
      </w:r>
      <w:r w:rsidR="00A61160" w:rsidRPr="00BA5461">
        <w:rPr>
          <w:color w:val="FF0000"/>
          <w:lang w:val="en-GB"/>
        </w:rPr>
        <w:t xml:space="preserve"> </w:t>
      </w:r>
    </w:p>
    <w:p w14:paraId="2A543E27" w14:textId="34077F05" w:rsidR="00360070" w:rsidRPr="00BA5461" w:rsidRDefault="00360070" w:rsidP="00FD0ABA">
      <w:pPr>
        <w:spacing w:before="240" w:after="240"/>
        <w:rPr>
          <w:color w:val="FF0000"/>
          <w:lang w:val="en-GB"/>
        </w:rPr>
      </w:pPr>
      <w:r w:rsidRPr="00BA5461">
        <w:rPr>
          <w:color w:val="FF0000"/>
          <w:lang w:val="en-GB"/>
        </w:rPr>
        <w:t xml:space="preserve">3. </w:t>
      </w:r>
      <w:r w:rsidRPr="00BA5461">
        <w:rPr>
          <w:b/>
          <w:bCs/>
          <w:color w:val="FF0000"/>
          <w:lang w:val="en-GB"/>
        </w:rPr>
        <w:t xml:space="preserve">Transparency. </w:t>
      </w:r>
      <w:r w:rsidRPr="00BA5461">
        <w:rPr>
          <w:color w:val="FF0000"/>
          <w:lang w:val="en-GB"/>
        </w:rPr>
        <w:t xml:space="preserve">The project </w:t>
      </w:r>
      <w:r w:rsidR="00AE5713" w:rsidRPr="00BA5461">
        <w:rPr>
          <w:color w:val="FF0000"/>
          <w:lang w:val="en-GB"/>
        </w:rPr>
        <w:t>operator</w:t>
      </w:r>
      <w:r w:rsidRPr="00BA5461">
        <w:rPr>
          <w:color w:val="FF0000"/>
          <w:lang w:val="en-GB"/>
        </w:rPr>
        <w:t xml:space="preserve"> is </w:t>
      </w:r>
      <w:r w:rsidRPr="00BA5461">
        <w:rPr>
          <w:color w:val="FF0000"/>
          <w:u w:val="single"/>
          <w:lang w:val="en-GB"/>
        </w:rPr>
        <w:t>expected</w:t>
      </w:r>
      <w:r w:rsidRPr="00BA5461">
        <w:rPr>
          <w:color w:val="FF0000"/>
          <w:lang w:val="en-GB"/>
        </w:rPr>
        <w:t xml:space="preserve"> to publicly disclose key information of public interest about its corporate structure, contractual terms related to the project and financial transactions with the government. Disclosures are expected to be made in consultation with citizens a</w:t>
      </w:r>
      <w:r w:rsidR="00115EAE" w:rsidRPr="00BA5461">
        <w:rPr>
          <w:color w:val="FF0000"/>
          <w:lang w:val="en-GB"/>
        </w:rPr>
        <w:t>n</w:t>
      </w:r>
      <w:r w:rsidRPr="00BA5461">
        <w:rPr>
          <w:color w:val="FF0000"/>
          <w:lang w:val="en-GB"/>
        </w:rPr>
        <w:t xml:space="preserve">d </w:t>
      </w:r>
      <w:r w:rsidR="00115EAE" w:rsidRPr="00BA5461">
        <w:rPr>
          <w:color w:val="FF0000"/>
          <w:lang w:val="en-GB"/>
        </w:rPr>
        <w:t xml:space="preserve">local </w:t>
      </w:r>
      <w:r w:rsidRPr="00BA5461">
        <w:rPr>
          <w:color w:val="FF0000"/>
          <w:lang w:val="en-GB"/>
        </w:rPr>
        <w:t>communities.</w:t>
      </w:r>
    </w:p>
    <w:p w14:paraId="20276DEB" w14:textId="1EA0AE7F" w:rsidR="00360070" w:rsidRPr="00BA5461" w:rsidRDefault="00DC28B2" w:rsidP="00A61160">
      <w:pPr>
        <w:pStyle w:val="ListParagraph"/>
        <w:numPr>
          <w:ilvl w:val="0"/>
          <w:numId w:val="13"/>
        </w:numPr>
        <w:spacing w:before="240" w:after="240"/>
        <w:rPr>
          <w:color w:val="FF0000"/>
          <w:lang w:val="en-GB"/>
        </w:rPr>
      </w:pPr>
      <w:r w:rsidRPr="00BA5461">
        <w:rPr>
          <w:b/>
          <w:bCs/>
          <w:color w:val="FF0000"/>
          <w:lang w:val="en-GB"/>
        </w:rPr>
        <w:t>Beneficial ownership transparency</w:t>
      </w:r>
      <w:r w:rsidRPr="00BA5461">
        <w:rPr>
          <w:color w:val="FF0000"/>
          <w:lang w:val="en-GB"/>
        </w:rPr>
        <w:t xml:space="preserve">. </w:t>
      </w:r>
      <w:r w:rsidR="007B275C" w:rsidRPr="00BA5461">
        <w:rPr>
          <w:color w:val="FF0000"/>
          <w:lang w:val="en-GB"/>
        </w:rPr>
        <w:t>P</w:t>
      </w:r>
      <w:r w:rsidR="00360070" w:rsidRPr="00BA5461">
        <w:rPr>
          <w:color w:val="FF0000"/>
          <w:lang w:val="en-GB"/>
        </w:rPr>
        <w:t xml:space="preserve">roject </w:t>
      </w:r>
      <w:r w:rsidR="00AE5713" w:rsidRPr="00BA5461">
        <w:rPr>
          <w:color w:val="FF0000"/>
          <w:lang w:val="en-GB"/>
        </w:rPr>
        <w:t>operator</w:t>
      </w:r>
      <w:r w:rsidR="00360070" w:rsidRPr="00BA5461">
        <w:rPr>
          <w:color w:val="FF0000"/>
          <w:lang w:val="en-GB"/>
        </w:rPr>
        <w:t xml:space="preserve">s are </w:t>
      </w:r>
      <w:r w:rsidR="001C79A3" w:rsidRPr="00BA5461">
        <w:rPr>
          <w:color w:val="FF0000"/>
          <w:u w:val="single"/>
          <w:lang w:val="en-GB"/>
        </w:rPr>
        <w:t>e</w:t>
      </w:r>
      <w:r w:rsidR="00360070" w:rsidRPr="00BA5461">
        <w:rPr>
          <w:color w:val="FF0000"/>
          <w:u w:val="single"/>
          <w:lang w:val="en-GB"/>
        </w:rPr>
        <w:t>ncouraged</w:t>
      </w:r>
      <w:r w:rsidR="00360070" w:rsidRPr="00BA5461">
        <w:rPr>
          <w:color w:val="FF0000"/>
          <w:lang w:val="en-GB"/>
        </w:rPr>
        <w:t xml:space="preserve"> to </w:t>
      </w:r>
      <w:r w:rsidR="001C79A3" w:rsidRPr="00BA5461">
        <w:rPr>
          <w:color w:val="FF0000"/>
          <w:lang w:val="en-GB"/>
        </w:rPr>
        <w:t xml:space="preserve">disclose </w:t>
      </w:r>
      <w:r w:rsidR="00F2720A" w:rsidRPr="00BA5461">
        <w:rPr>
          <w:color w:val="FF0000"/>
          <w:lang w:val="en-GB"/>
        </w:rPr>
        <w:t xml:space="preserve">legal </w:t>
      </w:r>
      <w:r w:rsidR="00FD0ABA" w:rsidRPr="00BA5461">
        <w:rPr>
          <w:color w:val="FF0000"/>
          <w:lang w:val="en-GB"/>
        </w:rPr>
        <w:t xml:space="preserve">and beneficial </w:t>
      </w:r>
      <w:r w:rsidR="00F2720A" w:rsidRPr="00BA5461">
        <w:rPr>
          <w:color w:val="FF0000"/>
          <w:lang w:val="en-GB"/>
        </w:rPr>
        <w:t>ownership</w:t>
      </w:r>
      <w:r w:rsidR="001C79A3" w:rsidRPr="00BA5461">
        <w:rPr>
          <w:color w:val="FF0000"/>
          <w:lang w:val="en-GB"/>
        </w:rPr>
        <w:t>, including the identity(</w:t>
      </w:r>
      <w:proofErr w:type="spellStart"/>
      <w:r w:rsidR="001C79A3" w:rsidRPr="00BA5461">
        <w:rPr>
          <w:color w:val="FF0000"/>
          <w:lang w:val="en-GB"/>
        </w:rPr>
        <w:t>ies</w:t>
      </w:r>
      <w:proofErr w:type="spellEnd"/>
      <w:r w:rsidR="001C79A3" w:rsidRPr="00BA5461">
        <w:rPr>
          <w:color w:val="FF0000"/>
          <w:lang w:val="en-GB"/>
        </w:rPr>
        <w:t xml:space="preserve">) of their beneficial owner(s), the level of ownership and details about how ownership or control is exerted. Where possible, </w:t>
      </w:r>
      <w:r w:rsidR="00FD0ABA" w:rsidRPr="00BA5461">
        <w:rPr>
          <w:color w:val="FF0000"/>
          <w:lang w:val="en-GB"/>
        </w:rPr>
        <w:t xml:space="preserve">this </w:t>
      </w:r>
      <w:r w:rsidR="001C79A3" w:rsidRPr="00BA5461">
        <w:rPr>
          <w:color w:val="FF0000"/>
          <w:lang w:val="en-GB"/>
        </w:rPr>
        <w:t xml:space="preserve">information should be incorporated in existing filings by companies to corporate regulators, stock exchanges or agencies regulating </w:t>
      </w:r>
      <w:r w:rsidR="005D79FF" w:rsidRPr="00BA5461">
        <w:rPr>
          <w:color w:val="FF0000"/>
          <w:lang w:val="en-GB"/>
        </w:rPr>
        <w:t>the project.</w:t>
      </w:r>
    </w:p>
    <w:p w14:paraId="347353B2" w14:textId="2CAC8772" w:rsidR="00360070" w:rsidRPr="00BA5461" w:rsidRDefault="004313F2" w:rsidP="00A61160">
      <w:pPr>
        <w:pStyle w:val="ListParagraph"/>
        <w:numPr>
          <w:ilvl w:val="0"/>
          <w:numId w:val="13"/>
        </w:numPr>
        <w:spacing w:before="240" w:after="240"/>
        <w:rPr>
          <w:color w:val="FF0000"/>
          <w:lang w:val="en-GB"/>
        </w:rPr>
      </w:pPr>
      <w:r w:rsidRPr="00BA5461">
        <w:rPr>
          <w:b/>
          <w:bCs/>
          <w:color w:val="FF0000"/>
          <w:lang w:val="en-GB"/>
        </w:rPr>
        <w:t>Contract transparency</w:t>
      </w:r>
      <w:r w:rsidRPr="00BA5461">
        <w:rPr>
          <w:color w:val="FF0000"/>
          <w:lang w:val="en-GB"/>
        </w:rPr>
        <w:t xml:space="preserve">. </w:t>
      </w:r>
      <w:r w:rsidR="00F25FE7" w:rsidRPr="00BA5461">
        <w:rPr>
          <w:color w:val="FF0000"/>
          <w:lang w:val="en-GB"/>
        </w:rPr>
        <w:t xml:space="preserve">Project </w:t>
      </w:r>
      <w:r w:rsidR="00AE5713" w:rsidRPr="00BA5461">
        <w:rPr>
          <w:color w:val="FF0000"/>
          <w:lang w:val="en-GB"/>
        </w:rPr>
        <w:t>operator</w:t>
      </w:r>
      <w:r w:rsidR="00F25FE7" w:rsidRPr="00BA5461">
        <w:rPr>
          <w:color w:val="FF0000"/>
          <w:lang w:val="en-GB"/>
        </w:rPr>
        <w:t xml:space="preserve">s are </w:t>
      </w:r>
      <w:r w:rsidR="00F25FE7" w:rsidRPr="00BA5461">
        <w:rPr>
          <w:color w:val="FF0000"/>
          <w:u w:val="single"/>
          <w:lang w:val="en-GB"/>
        </w:rPr>
        <w:t>encouraged</w:t>
      </w:r>
      <w:r w:rsidR="00F25FE7" w:rsidRPr="00BA5461">
        <w:rPr>
          <w:color w:val="FF0000"/>
          <w:lang w:val="en-GB"/>
        </w:rPr>
        <w:t xml:space="preserve"> to disclose the full text of any contract, concession, production-sharing </w:t>
      </w:r>
      <w:proofErr w:type="gramStart"/>
      <w:r w:rsidR="00F25FE7" w:rsidRPr="00BA5461">
        <w:rPr>
          <w:color w:val="FF0000"/>
          <w:lang w:val="en-GB"/>
        </w:rPr>
        <w:t>agreement</w:t>
      </w:r>
      <w:proofErr w:type="gramEnd"/>
      <w:r w:rsidR="00F25FE7" w:rsidRPr="00BA5461">
        <w:rPr>
          <w:color w:val="FF0000"/>
          <w:lang w:val="en-GB"/>
        </w:rPr>
        <w:t xml:space="preserve"> or other agreement granted by, or entered into by, the project </w:t>
      </w:r>
      <w:r w:rsidR="00AE5713" w:rsidRPr="00BA5461">
        <w:rPr>
          <w:color w:val="FF0000"/>
          <w:lang w:val="en-GB"/>
        </w:rPr>
        <w:t>operator</w:t>
      </w:r>
      <w:r w:rsidR="00F25FE7" w:rsidRPr="00BA5461">
        <w:rPr>
          <w:color w:val="FF0000"/>
          <w:lang w:val="en-GB"/>
        </w:rPr>
        <w:t>s which provides the terms attached to the utilisation of electricity and water and the production of green hydrogen.</w:t>
      </w:r>
    </w:p>
    <w:p w14:paraId="3D684763" w14:textId="71D4F48E" w:rsidR="001322CA" w:rsidRPr="00BA5461" w:rsidRDefault="00B02CA1" w:rsidP="00876E14">
      <w:pPr>
        <w:pStyle w:val="ListParagraph"/>
        <w:numPr>
          <w:ilvl w:val="0"/>
          <w:numId w:val="13"/>
        </w:numPr>
        <w:spacing w:before="240" w:after="240"/>
        <w:rPr>
          <w:color w:val="FF0000"/>
          <w:lang w:val="en-GB"/>
        </w:rPr>
      </w:pPr>
      <w:r w:rsidRPr="00BA5461">
        <w:rPr>
          <w:b/>
          <w:bCs/>
          <w:color w:val="FF0000"/>
          <w:lang w:val="en-GB"/>
        </w:rPr>
        <w:lastRenderedPageBreak/>
        <w:t>Tax and subsidy transparency</w:t>
      </w:r>
      <w:r w:rsidRPr="00BA5461">
        <w:rPr>
          <w:color w:val="FF0000"/>
          <w:lang w:val="en-GB"/>
        </w:rPr>
        <w:t>.</w:t>
      </w:r>
      <w:r w:rsidR="00360070" w:rsidRPr="00BA5461">
        <w:rPr>
          <w:color w:val="FF0000"/>
          <w:lang w:val="en-GB"/>
        </w:rPr>
        <w:t xml:space="preserve"> </w:t>
      </w:r>
      <w:r w:rsidR="00934C83" w:rsidRPr="00BA5461">
        <w:rPr>
          <w:color w:val="FF0000"/>
          <w:lang w:val="en-GB"/>
        </w:rPr>
        <w:t xml:space="preserve">Project operators are </w:t>
      </w:r>
      <w:r w:rsidR="00934C83" w:rsidRPr="00BA5461">
        <w:rPr>
          <w:color w:val="FF0000"/>
          <w:u w:val="single"/>
          <w:lang w:val="en-GB"/>
        </w:rPr>
        <w:t>encouraged</w:t>
      </w:r>
      <w:r w:rsidR="00934C83" w:rsidRPr="00BA5461">
        <w:rPr>
          <w:color w:val="FF0000"/>
          <w:lang w:val="en-GB"/>
        </w:rPr>
        <w:t xml:space="preserve"> to comprehensively disclose their payments they make to governments at both central and subnational level, and subsidies awarded to the project operator as individual subsidies or as part of a subsidy scheme. Types of payments to government include taxes levied on the income, production or profits of companies, royalties, dividends, licence fees, rental fees and other considerations for licences or concessions</w:t>
      </w:r>
      <w:r w:rsidR="00064562" w:rsidRPr="00BA5461">
        <w:rPr>
          <w:color w:val="FF0000"/>
          <w:lang w:val="en-GB"/>
        </w:rPr>
        <w:t>.</w:t>
      </w:r>
      <w:r w:rsidR="001C7904" w:rsidRPr="00BA5461">
        <w:rPr>
          <w:color w:val="FF0000"/>
          <w:lang w:val="en-GB"/>
        </w:rPr>
        <w:t xml:space="preserve"> </w:t>
      </w:r>
    </w:p>
    <w:p w14:paraId="3AFE1CF9" w14:textId="77777777" w:rsidR="001D0E30" w:rsidRPr="00BA5461" w:rsidRDefault="001D0E30" w:rsidP="001D0E30">
      <w:pPr>
        <w:pStyle w:val="ListParagraph"/>
        <w:spacing w:before="240" w:after="240"/>
        <w:rPr>
          <w:lang w:val="en-GB"/>
        </w:rPr>
      </w:pPr>
    </w:p>
    <w:p w14:paraId="76CCEFEA" w14:textId="00CC74C1" w:rsidR="00EB6E83" w:rsidRPr="00BA5461" w:rsidRDefault="00EB6E83" w:rsidP="00EB6E83">
      <w:pPr>
        <w:pStyle w:val="Heading1"/>
        <w:numPr>
          <w:ilvl w:val="0"/>
          <w:numId w:val="3"/>
        </w:numPr>
        <w:ind w:hanging="720"/>
        <w:rPr>
          <w:lang w:val="en-GB"/>
        </w:rPr>
      </w:pPr>
      <w:bookmarkStart w:id="24" w:name="_Toc94641830"/>
      <w:r w:rsidRPr="00BA5461">
        <w:rPr>
          <w:lang w:val="en-GB"/>
        </w:rPr>
        <w:t>Accreditation and Certification</w:t>
      </w:r>
      <w:bookmarkEnd w:id="24"/>
    </w:p>
    <w:p w14:paraId="60E94AE4" w14:textId="77777777" w:rsidR="00EE031A" w:rsidRPr="00BA5461" w:rsidRDefault="00EE031A" w:rsidP="00EB6E83">
      <w:pPr>
        <w:spacing w:before="240" w:after="240"/>
        <w:rPr>
          <w:color w:val="FF0000"/>
          <w:lang w:val="en-GB"/>
        </w:rPr>
      </w:pPr>
      <w:r w:rsidRPr="00BA5461">
        <w:rPr>
          <w:color w:val="FF0000"/>
          <w:lang w:val="en-GB"/>
        </w:rPr>
        <w:t>The Green Hydrogen Standard incorporates an accreditation and certification process in three stages:</w:t>
      </w:r>
    </w:p>
    <w:p w14:paraId="5032C9DF" w14:textId="54C91024" w:rsidR="0041573C" w:rsidRPr="00BA5461" w:rsidRDefault="0041573C" w:rsidP="0041573C">
      <w:pPr>
        <w:pStyle w:val="Heading2"/>
        <w:spacing w:before="120" w:after="120"/>
        <w:rPr>
          <w:lang w:val="en-GB"/>
        </w:rPr>
      </w:pPr>
      <w:r w:rsidRPr="00BA5461">
        <w:rPr>
          <w:lang w:val="en-GB"/>
        </w:rPr>
        <w:t>3.1</w:t>
      </w:r>
      <w:r w:rsidRPr="00BA5461">
        <w:rPr>
          <w:lang w:val="en-GB"/>
        </w:rPr>
        <w:tab/>
        <w:t>Early-stage commitment and support</w:t>
      </w:r>
    </w:p>
    <w:p w14:paraId="4F69EAA4" w14:textId="6E1BBF0E" w:rsidR="0041573C" w:rsidRPr="00BA5461" w:rsidRDefault="0041573C" w:rsidP="0041573C">
      <w:pPr>
        <w:spacing w:before="240" w:after="240"/>
        <w:rPr>
          <w:color w:val="FF0000"/>
          <w:lang w:val="en-GB"/>
        </w:rPr>
      </w:pPr>
      <w:r w:rsidRPr="00BA5461">
        <w:rPr>
          <w:color w:val="FF0000"/>
          <w:lang w:val="en-GB"/>
        </w:rPr>
        <w:t xml:space="preserve">Project developers are invited to work with GH2 from the earliest stages of green hydrogen project development. Project developers commit to the GH2 </w:t>
      </w:r>
      <w:r w:rsidR="00440AF6" w:rsidRPr="00BA5461">
        <w:rPr>
          <w:color w:val="FF0000"/>
          <w:lang w:val="en-GB"/>
        </w:rPr>
        <w:t>P</w:t>
      </w:r>
      <w:r w:rsidRPr="00BA5461">
        <w:rPr>
          <w:color w:val="FF0000"/>
          <w:lang w:val="en-GB"/>
        </w:rPr>
        <w:t>rinciples</w:t>
      </w:r>
      <w:r w:rsidR="00D7002C" w:rsidRPr="00BA5461">
        <w:rPr>
          <w:rStyle w:val="FootnoteReference"/>
          <w:color w:val="FF0000"/>
          <w:lang w:val="en-GB"/>
        </w:rPr>
        <w:footnoteReference w:id="16"/>
      </w:r>
      <w:r w:rsidRPr="00BA5461">
        <w:rPr>
          <w:color w:val="FF0000"/>
          <w:lang w:val="en-GB"/>
        </w:rPr>
        <w:t xml:space="preserve"> and confirm their intention to seek GH2 accreditation and certification. GH2 provides </w:t>
      </w:r>
      <w:r w:rsidR="0048691C" w:rsidRPr="00BA5461">
        <w:rPr>
          <w:color w:val="FF0000"/>
          <w:lang w:val="en-GB"/>
        </w:rPr>
        <w:t xml:space="preserve">project developers with </w:t>
      </w:r>
      <w:r w:rsidR="00671F3F" w:rsidRPr="00BA5461">
        <w:rPr>
          <w:color w:val="FF0000"/>
          <w:lang w:val="en-GB"/>
        </w:rPr>
        <w:t>tools</w:t>
      </w:r>
      <w:r w:rsidRPr="00BA5461">
        <w:rPr>
          <w:color w:val="FF0000"/>
          <w:lang w:val="en-GB"/>
        </w:rPr>
        <w:t xml:space="preserve"> </w:t>
      </w:r>
      <w:r w:rsidR="00671F3F" w:rsidRPr="00BA5461">
        <w:rPr>
          <w:color w:val="FF0000"/>
          <w:lang w:val="en-GB"/>
        </w:rPr>
        <w:t xml:space="preserve">that can be used </w:t>
      </w:r>
      <w:r w:rsidRPr="00BA5461">
        <w:rPr>
          <w:color w:val="FF0000"/>
          <w:lang w:val="en-GB"/>
        </w:rPr>
        <w:t xml:space="preserve">throughout early-stage concept and pre-feasibility work </w:t>
      </w:r>
      <w:r w:rsidR="00F37A8E" w:rsidRPr="00BA5461">
        <w:rPr>
          <w:color w:val="FF0000"/>
          <w:lang w:val="en-GB"/>
        </w:rPr>
        <w:t xml:space="preserve">in consultation with stakeholders and host communities prior to final </w:t>
      </w:r>
      <w:r w:rsidRPr="00BA5461">
        <w:rPr>
          <w:color w:val="FF0000"/>
          <w:lang w:val="en-GB"/>
        </w:rPr>
        <w:t>government approval</w:t>
      </w:r>
      <w:r w:rsidR="00F37A8E" w:rsidRPr="00BA5461">
        <w:rPr>
          <w:color w:val="FF0000"/>
          <w:lang w:val="en-GB"/>
        </w:rPr>
        <w:t>s</w:t>
      </w:r>
      <w:r w:rsidRPr="00BA5461">
        <w:rPr>
          <w:color w:val="FF0000"/>
          <w:lang w:val="en-GB"/>
        </w:rPr>
        <w:t xml:space="preserve"> and final investment decision.</w:t>
      </w:r>
      <w:r w:rsidR="00B53777" w:rsidRPr="00BA5461">
        <w:rPr>
          <w:color w:val="FF0000"/>
          <w:lang w:val="en-GB"/>
        </w:rPr>
        <w:t xml:space="preserve"> Early commitment to the Green Hydrogen Standard can also be useful in </w:t>
      </w:r>
      <w:r w:rsidR="00D84FD6" w:rsidRPr="00BA5461">
        <w:rPr>
          <w:color w:val="FF0000"/>
          <w:lang w:val="en-GB"/>
        </w:rPr>
        <w:t>marketing products and negotiating</w:t>
      </w:r>
      <w:r w:rsidR="00111239" w:rsidRPr="00BA5461">
        <w:rPr>
          <w:color w:val="FF0000"/>
          <w:lang w:val="en-GB"/>
        </w:rPr>
        <w:t xml:space="preserve"> offtake agreements. </w:t>
      </w:r>
      <w:r w:rsidRPr="00BA5461">
        <w:rPr>
          <w:color w:val="FF0000"/>
          <w:lang w:val="en-GB"/>
        </w:rPr>
        <w:t>Th</w:t>
      </w:r>
      <w:r w:rsidR="00D84FD6" w:rsidRPr="00BA5461">
        <w:rPr>
          <w:color w:val="FF0000"/>
          <w:lang w:val="en-GB"/>
        </w:rPr>
        <w:t xml:space="preserve">e first stage is </w:t>
      </w:r>
      <w:r w:rsidR="00671F3F" w:rsidRPr="00BA5461">
        <w:rPr>
          <w:color w:val="FF0000"/>
          <w:lang w:val="en-GB"/>
        </w:rPr>
        <w:t xml:space="preserve">purposefully low cost and </w:t>
      </w:r>
      <w:r w:rsidRPr="00BA5461">
        <w:rPr>
          <w:color w:val="FF0000"/>
          <w:lang w:val="en-GB"/>
        </w:rPr>
        <w:t xml:space="preserve">“light touch”, focussed on maximising the </w:t>
      </w:r>
      <w:r w:rsidR="00D84FD6" w:rsidRPr="00BA5461">
        <w:rPr>
          <w:color w:val="FF0000"/>
          <w:lang w:val="en-GB"/>
        </w:rPr>
        <w:t xml:space="preserve">efficacy, efficiency and </w:t>
      </w:r>
      <w:r w:rsidRPr="00BA5461">
        <w:rPr>
          <w:color w:val="FF0000"/>
          <w:lang w:val="en-GB"/>
        </w:rPr>
        <w:t xml:space="preserve">development potential of green hydrogen projects, and the early identification and amelioration of any environment, social and governance risks. </w:t>
      </w:r>
    </w:p>
    <w:p w14:paraId="55302B42" w14:textId="4225B9EE" w:rsidR="00671F3F" w:rsidRPr="00BA5461" w:rsidRDefault="00671F3F" w:rsidP="00671F3F">
      <w:pPr>
        <w:pStyle w:val="Heading2"/>
        <w:spacing w:before="120" w:after="120"/>
        <w:rPr>
          <w:lang w:val="en-GB"/>
        </w:rPr>
      </w:pPr>
      <w:r w:rsidRPr="00BA5461">
        <w:rPr>
          <w:lang w:val="en-GB"/>
        </w:rPr>
        <w:t>3.2</w:t>
      </w:r>
      <w:r w:rsidRPr="00BA5461">
        <w:rPr>
          <w:lang w:val="en-GB"/>
        </w:rPr>
        <w:tab/>
      </w:r>
      <w:r w:rsidR="006938E5" w:rsidRPr="00BA5461">
        <w:rPr>
          <w:lang w:val="en-GB"/>
        </w:rPr>
        <w:t xml:space="preserve">Independent appraisal </w:t>
      </w:r>
      <w:r w:rsidRPr="00BA5461">
        <w:rPr>
          <w:lang w:val="en-GB"/>
        </w:rPr>
        <w:t xml:space="preserve">of Green Hydrogen Projects </w:t>
      </w:r>
    </w:p>
    <w:p w14:paraId="7EF1C5CB" w14:textId="242EDDD4" w:rsidR="00012A12" w:rsidRPr="00BA5461" w:rsidRDefault="003B5ECA" w:rsidP="00B53777">
      <w:pPr>
        <w:spacing w:before="240" w:after="240"/>
        <w:rPr>
          <w:color w:val="FF0000"/>
          <w:lang w:val="en-GB"/>
        </w:rPr>
      </w:pPr>
      <w:r w:rsidRPr="00BA5461">
        <w:rPr>
          <w:color w:val="FF0000"/>
          <w:lang w:val="en-GB"/>
        </w:rPr>
        <w:t>P</w:t>
      </w:r>
      <w:r w:rsidR="00B53777" w:rsidRPr="00BA5461">
        <w:rPr>
          <w:color w:val="FF0000"/>
          <w:lang w:val="en-GB"/>
        </w:rPr>
        <w:t xml:space="preserve">roject </w:t>
      </w:r>
      <w:r w:rsidR="00AE5713" w:rsidRPr="00BA5461">
        <w:rPr>
          <w:color w:val="FF0000"/>
          <w:lang w:val="en-GB"/>
        </w:rPr>
        <w:t>operator</w:t>
      </w:r>
      <w:r w:rsidR="00B53777" w:rsidRPr="00BA5461">
        <w:rPr>
          <w:color w:val="FF0000"/>
          <w:lang w:val="en-GB"/>
        </w:rPr>
        <w:t xml:space="preserve">s </w:t>
      </w:r>
      <w:r w:rsidRPr="00BA5461">
        <w:rPr>
          <w:color w:val="FF0000"/>
          <w:lang w:val="en-GB"/>
        </w:rPr>
        <w:t xml:space="preserve">seeking accreditation </w:t>
      </w:r>
      <w:r w:rsidR="00FF3ED1" w:rsidRPr="00BA5461">
        <w:rPr>
          <w:color w:val="FF0000"/>
          <w:lang w:val="en-GB"/>
        </w:rPr>
        <w:t xml:space="preserve">should </w:t>
      </w:r>
      <w:r w:rsidR="00B53777" w:rsidRPr="00BA5461">
        <w:rPr>
          <w:color w:val="FF0000"/>
          <w:lang w:val="en-GB"/>
        </w:rPr>
        <w:t>undertake the necessary preparatory work to demonstrate the</w:t>
      </w:r>
      <w:r w:rsidRPr="00BA5461">
        <w:rPr>
          <w:color w:val="FF0000"/>
          <w:lang w:val="en-GB"/>
        </w:rPr>
        <w:t>ir</w:t>
      </w:r>
      <w:r w:rsidR="00B53777" w:rsidRPr="00BA5461">
        <w:rPr>
          <w:color w:val="FF0000"/>
          <w:lang w:val="en-GB"/>
        </w:rPr>
        <w:t xml:space="preserve"> project</w:t>
      </w:r>
      <w:r w:rsidR="00770481" w:rsidRPr="00BA5461">
        <w:rPr>
          <w:color w:val="FF0000"/>
          <w:lang w:val="en-GB"/>
        </w:rPr>
        <w:t>’</w:t>
      </w:r>
      <w:r w:rsidR="00B53777" w:rsidRPr="00BA5461">
        <w:rPr>
          <w:color w:val="FF0000"/>
          <w:lang w:val="en-GB"/>
        </w:rPr>
        <w:t>s adherence to the Green Hydrogen Standard</w:t>
      </w:r>
      <w:r w:rsidR="00770481" w:rsidRPr="00BA5461">
        <w:rPr>
          <w:color w:val="FF0000"/>
          <w:lang w:val="en-GB"/>
        </w:rPr>
        <w:t xml:space="preserve"> as outlined in the previous section</w:t>
      </w:r>
      <w:r w:rsidR="00B53777" w:rsidRPr="00BA5461">
        <w:rPr>
          <w:color w:val="FF0000"/>
          <w:lang w:val="en-GB"/>
        </w:rPr>
        <w:t xml:space="preserve">. GH2 will accredit </w:t>
      </w:r>
      <w:r w:rsidR="00B53777" w:rsidRPr="00BA5461">
        <w:rPr>
          <w:b/>
          <w:bCs/>
          <w:color w:val="FF0000"/>
          <w:lang w:val="en-GB"/>
        </w:rPr>
        <w:t>Independent Assurance Providers</w:t>
      </w:r>
      <w:r w:rsidR="00B53777" w:rsidRPr="00BA5461">
        <w:rPr>
          <w:color w:val="FF0000"/>
          <w:lang w:val="en-GB"/>
        </w:rPr>
        <w:t xml:space="preserve"> (IAPs) authorised to review projects in accordance with the Standard. </w:t>
      </w:r>
      <w:r w:rsidR="00F56BC3" w:rsidRPr="00BA5461">
        <w:rPr>
          <w:color w:val="FF0000"/>
          <w:lang w:val="en-GB"/>
        </w:rPr>
        <w:t xml:space="preserve">Project </w:t>
      </w:r>
      <w:r w:rsidR="00AE5713" w:rsidRPr="00BA5461">
        <w:rPr>
          <w:color w:val="FF0000"/>
          <w:lang w:val="en-GB"/>
        </w:rPr>
        <w:t>operator</w:t>
      </w:r>
      <w:r w:rsidR="00F56BC3" w:rsidRPr="00BA5461">
        <w:rPr>
          <w:color w:val="FF0000"/>
          <w:lang w:val="en-GB"/>
        </w:rPr>
        <w:t xml:space="preserve">s would engage an IAP </w:t>
      </w:r>
      <w:r w:rsidRPr="00BA5461">
        <w:rPr>
          <w:color w:val="FF0000"/>
          <w:lang w:val="en-GB"/>
        </w:rPr>
        <w:t xml:space="preserve">(at their own cost) </w:t>
      </w:r>
      <w:r w:rsidR="00F56BC3" w:rsidRPr="00BA5461">
        <w:rPr>
          <w:color w:val="FF0000"/>
          <w:lang w:val="en-GB"/>
        </w:rPr>
        <w:t xml:space="preserve">to assess adherence to the </w:t>
      </w:r>
      <w:r w:rsidR="00012A12" w:rsidRPr="00BA5461">
        <w:rPr>
          <w:color w:val="FF0000"/>
          <w:lang w:val="en-GB"/>
        </w:rPr>
        <w:t>Green Hydrogen Standard</w:t>
      </w:r>
      <w:r w:rsidR="00F56BC3" w:rsidRPr="00BA5461">
        <w:rPr>
          <w:color w:val="FF0000"/>
          <w:lang w:val="en-GB"/>
        </w:rPr>
        <w:t xml:space="preserve">. </w:t>
      </w:r>
    </w:p>
    <w:p w14:paraId="2E909E85" w14:textId="4B4E0458" w:rsidR="00B53777" w:rsidRPr="00BA5461" w:rsidRDefault="00B53777" w:rsidP="00B53777">
      <w:pPr>
        <w:pBdr>
          <w:top w:val="single" w:sz="4" w:space="1" w:color="auto"/>
          <w:left w:val="single" w:sz="4" w:space="4" w:color="auto"/>
          <w:bottom w:val="single" w:sz="4" w:space="1" w:color="auto"/>
          <w:right w:val="single" w:sz="4" w:space="4" w:color="auto"/>
        </w:pBdr>
        <w:shd w:val="clear" w:color="auto" w:fill="A8D08D" w:themeFill="accent6" w:themeFillTint="99"/>
        <w:spacing w:before="240" w:after="240"/>
        <w:rPr>
          <w:color w:val="FF0000"/>
          <w:lang w:val="en-GB"/>
        </w:rPr>
      </w:pPr>
      <w:r w:rsidRPr="00BA5461">
        <w:rPr>
          <w:color w:val="FF0000"/>
          <w:lang w:val="en-GB"/>
        </w:rPr>
        <w:t xml:space="preserve">By </w:t>
      </w:r>
      <w:r w:rsidR="003B5ECA" w:rsidRPr="00BA5461">
        <w:rPr>
          <w:color w:val="FF0000"/>
          <w:lang w:val="en-GB"/>
        </w:rPr>
        <w:t xml:space="preserve">30 June </w:t>
      </w:r>
      <w:r w:rsidRPr="00BA5461">
        <w:rPr>
          <w:color w:val="FF0000"/>
          <w:lang w:val="en-GB"/>
        </w:rPr>
        <w:t xml:space="preserve">2022 the GH2 Board will issue Policy Notes addressing </w:t>
      </w:r>
      <w:r w:rsidR="00FF3ED1" w:rsidRPr="00BA5461">
        <w:rPr>
          <w:color w:val="FF0000"/>
          <w:lang w:val="en-GB"/>
        </w:rPr>
        <w:t xml:space="preserve">the procedure for the appointment of Independent Assurance Providers (IAPs) and standard terms of Reference for the engagement </w:t>
      </w:r>
      <w:r w:rsidRPr="00BA5461">
        <w:rPr>
          <w:color w:val="FF0000"/>
          <w:u w:val="single"/>
          <w:lang w:val="en-GB"/>
        </w:rPr>
        <w:t xml:space="preserve">of </w:t>
      </w:r>
      <w:r w:rsidR="008077AE" w:rsidRPr="00BA5461">
        <w:rPr>
          <w:color w:val="FF0000"/>
          <w:u w:val="single"/>
          <w:lang w:val="en-GB"/>
        </w:rPr>
        <w:t>Independent Assurance Providers (IAPs)</w:t>
      </w:r>
      <w:r w:rsidRPr="00BA5461">
        <w:rPr>
          <w:color w:val="FF0000"/>
          <w:lang w:val="en-GB"/>
        </w:rPr>
        <w:t xml:space="preserve">. </w:t>
      </w:r>
    </w:p>
    <w:p w14:paraId="5B227817" w14:textId="6359E6C1" w:rsidR="009944A9" w:rsidRPr="00BA5461" w:rsidRDefault="009944A9" w:rsidP="009944A9">
      <w:pPr>
        <w:pStyle w:val="Heading2"/>
        <w:spacing w:before="120" w:after="120"/>
        <w:rPr>
          <w:lang w:val="en-GB"/>
        </w:rPr>
      </w:pPr>
      <w:r w:rsidRPr="00BA5461">
        <w:rPr>
          <w:lang w:val="en-GB"/>
        </w:rPr>
        <w:t>3.3</w:t>
      </w:r>
      <w:r w:rsidRPr="00BA5461">
        <w:rPr>
          <w:lang w:val="en-GB"/>
        </w:rPr>
        <w:tab/>
      </w:r>
      <w:r w:rsidR="006938E5" w:rsidRPr="00BA5461">
        <w:rPr>
          <w:lang w:val="en-GB"/>
        </w:rPr>
        <w:t xml:space="preserve">Accreditation of Green Hydrogen Projects and </w:t>
      </w:r>
      <w:r w:rsidRPr="00BA5461">
        <w:rPr>
          <w:lang w:val="en-GB"/>
        </w:rPr>
        <w:t xml:space="preserve">Certification of Green Hydrogen Production </w:t>
      </w:r>
    </w:p>
    <w:p w14:paraId="574423E7" w14:textId="3EABBFAD" w:rsidR="008077AE" w:rsidRPr="00BA5461" w:rsidRDefault="006D4839" w:rsidP="001C6AC0">
      <w:pPr>
        <w:spacing w:before="240" w:after="240"/>
        <w:rPr>
          <w:color w:val="FF0000"/>
          <w:lang w:val="en-GB"/>
        </w:rPr>
      </w:pPr>
      <w:r w:rsidRPr="00BA5461">
        <w:rPr>
          <w:color w:val="FF0000"/>
          <w:lang w:val="en-GB"/>
        </w:rPr>
        <w:t xml:space="preserve">The final report from the Independent Assurance Provider is submitted to GH2’s Accreditation and Certification Body. Projects that meet the Standard are licensed to use the label “GH2 Green Hydrogen” and will be eligible to obtain and trade GH2 certificates of origin. Projects that do not meet the standard may be re-submitted. </w:t>
      </w:r>
      <w:r w:rsidR="007A2C1C" w:rsidRPr="00BA5461">
        <w:rPr>
          <w:color w:val="FF0000"/>
          <w:lang w:val="en-GB"/>
        </w:rPr>
        <w:t xml:space="preserve">The </w:t>
      </w:r>
      <w:r w:rsidR="007A2C1C" w:rsidRPr="00BA5461">
        <w:rPr>
          <w:b/>
          <w:bCs/>
          <w:color w:val="FF0000"/>
          <w:lang w:val="en-GB"/>
        </w:rPr>
        <w:t>GH2 Registry</w:t>
      </w:r>
      <w:r w:rsidR="007A2C1C" w:rsidRPr="00BA5461">
        <w:rPr>
          <w:color w:val="FF0000"/>
          <w:lang w:val="en-GB"/>
        </w:rPr>
        <w:t xml:space="preserve"> will tracks GH2 </w:t>
      </w:r>
      <w:r w:rsidR="00B3136D" w:rsidRPr="00BA5461">
        <w:rPr>
          <w:color w:val="FF0000"/>
          <w:lang w:val="en-GB"/>
        </w:rPr>
        <w:t xml:space="preserve">the issuance, </w:t>
      </w:r>
      <w:proofErr w:type="gramStart"/>
      <w:r w:rsidR="007A2C1C" w:rsidRPr="00BA5461">
        <w:rPr>
          <w:color w:val="FF0000"/>
          <w:lang w:val="en-GB"/>
        </w:rPr>
        <w:t>transfers</w:t>
      </w:r>
      <w:proofErr w:type="gramEnd"/>
      <w:r w:rsidR="00B3136D" w:rsidRPr="00BA5461">
        <w:rPr>
          <w:color w:val="FF0000"/>
          <w:lang w:val="en-GB"/>
        </w:rPr>
        <w:t xml:space="preserve"> and cancelation of GH2 Certificates.</w:t>
      </w:r>
    </w:p>
    <w:p w14:paraId="5A689D25" w14:textId="71175CA7" w:rsidR="001C6AC0" w:rsidRPr="00BA5461" w:rsidRDefault="001C6AC0" w:rsidP="00DE180E">
      <w:pPr>
        <w:pBdr>
          <w:top w:val="single" w:sz="4" w:space="1" w:color="auto"/>
          <w:left w:val="single" w:sz="4" w:space="4" w:color="auto"/>
          <w:bottom w:val="single" w:sz="4" w:space="1" w:color="auto"/>
          <w:right w:val="single" w:sz="4" w:space="4" w:color="auto"/>
        </w:pBdr>
        <w:shd w:val="clear" w:color="auto" w:fill="A8D08D" w:themeFill="accent6" w:themeFillTint="99"/>
        <w:spacing w:before="240" w:after="240"/>
        <w:rPr>
          <w:color w:val="FF0000"/>
          <w:lang w:val="en-GB"/>
        </w:rPr>
      </w:pPr>
      <w:r w:rsidRPr="00BA5461">
        <w:rPr>
          <w:color w:val="FF0000"/>
          <w:lang w:val="en-GB"/>
        </w:rPr>
        <w:lastRenderedPageBreak/>
        <w:t xml:space="preserve">By 31 </w:t>
      </w:r>
      <w:r w:rsidR="00DE180E" w:rsidRPr="00BA5461">
        <w:rPr>
          <w:color w:val="FF0000"/>
          <w:lang w:val="en-GB"/>
        </w:rPr>
        <w:t>December 2022, GH2 will issue Policy Notes addressing the Terms of Reference for the Establishment of the GH2 Accreditation and Certification Body and associated procedures and the Terms of Reference for the establishment of the GH2 Registry</w:t>
      </w:r>
      <w:r w:rsidR="00B3136D" w:rsidRPr="00BA5461">
        <w:rPr>
          <w:color w:val="FF0000"/>
          <w:u w:val="single"/>
          <w:lang w:val="en-GB"/>
        </w:rPr>
        <w:t xml:space="preserve">. </w:t>
      </w:r>
    </w:p>
    <w:p w14:paraId="676B69A2" w14:textId="284A77AB" w:rsidR="00CD6A06" w:rsidRPr="00BA5461" w:rsidRDefault="001D3921">
      <w:pPr>
        <w:rPr>
          <w:lang w:val="en-GB"/>
        </w:rPr>
      </w:pPr>
      <w:r w:rsidRPr="00BA5461">
        <w:rPr>
          <w:lang w:val="en-GB"/>
        </w:rPr>
        <w:t xml:space="preserve"> </w:t>
      </w:r>
      <w:r w:rsidRPr="00BA5461">
        <w:rPr>
          <w:noProof/>
          <w:lang w:val="en-GB"/>
        </w:rPr>
        <w:drawing>
          <wp:inline distT="0" distB="0" distL="0" distR="0" wp14:anchorId="36DDBA75" wp14:editId="210C4D5D">
            <wp:extent cx="6116320" cy="3496310"/>
            <wp:effectExtent l="0" t="0" r="0" b="889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5"/>
                    <a:stretch>
                      <a:fillRect/>
                    </a:stretch>
                  </pic:blipFill>
                  <pic:spPr>
                    <a:xfrm>
                      <a:off x="0" y="0"/>
                      <a:ext cx="6116320" cy="3496310"/>
                    </a:xfrm>
                    <a:prstGeom prst="rect">
                      <a:avLst/>
                    </a:prstGeom>
                  </pic:spPr>
                </pic:pic>
              </a:graphicData>
            </a:graphic>
          </wp:inline>
        </w:drawing>
      </w:r>
    </w:p>
    <w:p w14:paraId="6BA1E5F9" w14:textId="77777777" w:rsidR="00F83C5A" w:rsidRPr="00BA5461" w:rsidRDefault="00F83C5A">
      <w:pPr>
        <w:rPr>
          <w:rFonts w:asciiTheme="majorHAnsi" w:eastAsiaTheme="majorEastAsia" w:hAnsiTheme="majorHAnsi" w:cstheme="majorBidi"/>
          <w:color w:val="2F5496" w:themeColor="accent1" w:themeShade="BF"/>
          <w:sz w:val="32"/>
          <w:szCs w:val="32"/>
          <w:lang w:val="en-GB"/>
        </w:rPr>
      </w:pPr>
      <w:bookmarkStart w:id="25" w:name="_Toc94641831"/>
      <w:r w:rsidRPr="00BA5461">
        <w:rPr>
          <w:lang w:val="en-GB"/>
        </w:rPr>
        <w:br w:type="page"/>
      </w:r>
    </w:p>
    <w:p w14:paraId="2727E884" w14:textId="37484C3F" w:rsidR="00677BD0" w:rsidRPr="00BA5461" w:rsidRDefault="00FB7375" w:rsidP="00AE43E0">
      <w:pPr>
        <w:pStyle w:val="Heading1"/>
        <w:numPr>
          <w:ilvl w:val="0"/>
          <w:numId w:val="3"/>
        </w:numPr>
        <w:ind w:hanging="720"/>
        <w:rPr>
          <w:lang w:val="en-GB"/>
        </w:rPr>
      </w:pPr>
      <w:r w:rsidRPr="00BA5461">
        <w:rPr>
          <w:lang w:val="en-GB"/>
        </w:rPr>
        <w:lastRenderedPageBreak/>
        <w:t xml:space="preserve">GH2 </w:t>
      </w:r>
      <w:r w:rsidR="007F2B4F" w:rsidRPr="00BA5461">
        <w:rPr>
          <w:lang w:val="en-GB"/>
        </w:rPr>
        <w:t>Policy Notes</w:t>
      </w:r>
      <w:bookmarkEnd w:id="25"/>
    </w:p>
    <w:p w14:paraId="308CBDF7" w14:textId="169B469B" w:rsidR="00A2738F" w:rsidRPr="00BA5461" w:rsidRDefault="00920EC8" w:rsidP="001B60BE">
      <w:pPr>
        <w:spacing w:before="240" w:after="240"/>
        <w:rPr>
          <w:lang w:val="en-GB"/>
        </w:rPr>
      </w:pPr>
      <w:r w:rsidRPr="00BA5461">
        <w:rPr>
          <w:lang w:val="en-GB"/>
        </w:rPr>
        <w:t>P</w:t>
      </w:r>
      <w:r w:rsidR="00A2738F" w:rsidRPr="00BA5461">
        <w:rPr>
          <w:lang w:val="en-GB"/>
        </w:rPr>
        <w:t xml:space="preserve">olicy notes provide additional detail on </w:t>
      </w:r>
      <w:r w:rsidR="002D5626" w:rsidRPr="00BA5461">
        <w:rPr>
          <w:lang w:val="en-GB"/>
        </w:rPr>
        <w:t xml:space="preserve">issues </w:t>
      </w:r>
      <w:r w:rsidR="00A2738F" w:rsidRPr="00BA5461">
        <w:rPr>
          <w:lang w:val="en-GB"/>
        </w:rPr>
        <w:t xml:space="preserve">covered in sections </w:t>
      </w:r>
      <w:r w:rsidRPr="00BA5461">
        <w:rPr>
          <w:lang w:val="en-GB"/>
        </w:rPr>
        <w:t>2</w:t>
      </w:r>
      <w:r w:rsidR="00A2738F" w:rsidRPr="00BA5461">
        <w:rPr>
          <w:lang w:val="en-GB"/>
        </w:rPr>
        <w:t xml:space="preserve"> and </w:t>
      </w:r>
      <w:r w:rsidRPr="00BA5461">
        <w:rPr>
          <w:lang w:val="en-GB"/>
        </w:rPr>
        <w:t>3</w:t>
      </w:r>
      <w:r w:rsidR="00A2738F" w:rsidRPr="00BA5461">
        <w:rPr>
          <w:lang w:val="en-GB"/>
        </w:rPr>
        <w:t>. The GH2 Board will</w:t>
      </w:r>
      <w:r w:rsidR="00B5719C" w:rsidRPr="00BA5461">
        <w:rPr>
          <w:lang w:val="en-GB"/>
        </w:rPr>
        <w:t xml:space="preserve"> refine and approve additional policy notes building on lessons learned from </w:t>
      </w:r>
      <w:r w:rsidR="00D3010F" w:rsidRPr="00BA5461">
        <w:rPr>
          <w:lang w:val="en-GB"/>
        </w:rPr>
        <w:t>accreditation</w:t>
      </w:r>
      <w:r w:rsidR="00B5719C" w:rsidRPr="00BA5461">
        <w:rPr>
          <w:lang w:val="en-GB"/>
        </w:rPr>
        <w:t xml:space="preserve"> and certification, </w:t>
      </w:r>
      <w:proofErr w:type="gramStart"/>
      <w:r w:rsidR="00B5719C" w:rsidRPr="00BA5461">
        <w:rPr>
          <w:lang w:val="en-GB"/>
        </w:rPr>
        <w:t>taking into account</w:t>
      </w:r>
      <w:proofErr w:type="gramEnd"/>
      <w:r w:rsidR="00B5719C" w:rsidRPr="00BA5461">
        <w:rPr>
          <w:lang w:val="en-GB"/>
        </w:rPr>
        <w:t xml:space="preserve"> feedback from </w:t>
      </w:r>
      <w:r w:rsidR="003B2F9E" w:rsidRPr="00BA5461">
        <w:rPr>
          <w:lang w:val="en-GB"/>
        </w:rPr>
        <w:t xml:space="preserve">project </w:t>
      </w:r>
      <w:r w:rsidR="00AE5713" w:rsidRPr="00BA5461">
        <w:rPr>
          <w:lang w:val="en-GB"/>
        </w:rPr>
        <w:t>operator</w:t>
      </w:r>
      <w:r w:rsidR="003B2F9E" w:rsidRPr="00BA5461">
        <w:rPr>
          <w:lang w:val="en-GB"/>
        </w:rPr>
        <w:t>s and other stakeholders.</w:t>
      </w:r>
    </w:p>
    <w:p w14:paraId="459D2AEF" w14:textId="22F17575" w:rsidR="00394472" w:rsidRPr="00BA5461" w:rsidRDefault="00394472" w:rsidP="007D23B7">
      <w:pPr>
        <w:pStyle w:val="Heading1"/>
        <w:rPr>
          <w:lang w:val="en-GB"/>
        </w:rPr>
      </w:pPr>
      <w:r w:rsidRPr="00BA5461">
        <w:rPr>
          <w:lang w:val="en-GB"/>
        </w:rPr>
        <w:t xml:space="preserve">Policy Note 1 </w:t>
      </w:r>
      <w:r w:rsidR="00C204DF" w:rsidRPr="00BA5461">
        <w:rPr>
          <w:lang w:val="en-GB"/>
        </w:rPr>
        <w:t xml:space="preserve">– </w:t>
      </w:r>
      <w:r w:rsidR="00547E8B" w:rsidRPr="00BA5461">
        <w:rPr>
          <w:lang w:val="en-GB"/>
        </w:rPr>
        <w:t>GH2 m</w:t>
      </w:r>
      <w:r w:rsidR="000E36DB" w:rsidRPr="00BA5461">
        <w:rPr>
          <w:lang w:val="en-GB"/>
        </w:rPr>
        <w:t>ethodology for GHG e</w:t>
      </w:r>
      <w:r w:rsidR="00C204DF" w:rsidRPr="00BA5461">
        <w:rPr>
          <w:lang w:val="en-GB"/>
        </w:rPr>
        <w:t>missions measurement</w:t>
      </w:r>
    </w:p>
    <w:p w14:paraId="77FF1A3B" w14:textId="666A8214" w:rsidR="00AB01E2" w:rsidRPr="007D23B7" w:rsidRDefault="00554FDC" w:rsidP="002B02E5">
      <w:pPr>
        <w:pStyle w:val="ListParagraph"/>
        <w:numPr>
          <w:ilvl w:val="0"/>
          <w:numId w:val="16"/>
        </w:numPr>
        <w:spacing w:before="240" w:after="240"/>
        <w:ind w:hanging="720"/>
        <w:rPr>
          <w:color w:val="FF0000"/>
          <w:lang w:val="en-GB"/>
        </w:rPr>
      </w:pPr>
      <w:r w:rsidRPr="007D23B7">
        <w:rPr>
          <w:color w:val="FF0000"/>
          <w:lang w:val="en-GB"/>
        </w:rPr>
        <w:t xml:space="preserve">The Green Hydrogen Standard </w:t>
      </w:r>
      <w:r w:rsidR="002B2CA6" w:rsidRPr="007D23B7">
        <w:rPr>
          <w:color w:val="FF0000"/>
          <w:lang w:val="en-GB"/>
        </w:rPr>
        <w:t xml:space="preserve">applies the methodology for the electrolysis production pathway being developed by the International Partnership for Hydrogen and Fuel Cells in the Economy (IPHE) as outlined in the </w:t>
      </w:r>
      <w:r w:rsidR="002B2CA6" w:rsidRPr="007D23B7">
        <w:rPr>
          <w:i/>
          <w:iCs/>
          <w:color w:val="FF0000"/>
          <w:lang w:val="en-GB"/>
        </w:rPr>
        <w:t>Working Paper Methodology for Determining the Greenhouse Gas Emissions Associated with the Production of Hydrogen</w:t>
      </w:r>
      <w:r w:rsidR="002B2CA6" w:rsidRPr="007D23B7">
        <w:rPr>
          <w:color w:val="FF0000"/>
          <w:lang w:val="en-GB"/>
        </w:rPr>
        <w:t>.</w:t>
      </w:r>
      <w:r w:rsidR="002B2CA6" w:rsidRPr="007D23B7">
        <w:rPr>
          <w:rStyle w:val="FootnoteReference"/>
          <w:color w:val="FF0000"/>
          <w:lang w:val="en-GB"/>
        </w:rPr>
        <w:footnoteReference w:id="17"/>
      </w:r>
      <w:r w:rsidR="002B2CA6" w:rsidRPr="007D23B7">
        <w:rPr>
          <w:color w:val="FF0000"/>
          <w:lang w:val="en-GB"/>
        </w:rPr>
        <w:t xml:space="preserve"> Based on discussions with stakeholders, some minor refinements </w:t>
      </w:r>
      <w:r w:rsidR="00AB01E2" w:rsidRPr="007D23B7">
        <w:rPr>
          <w:color w:val="FF0000"/>
          <w:lang w:val="en-GB"/>
        </w:rPr>
        <w:t>have been adopted</w:t>
      </w:r>
      <w:r w:rsidR="001F522C" w:rsidRPr="007D23B7">
        <w:rPr>
          <w:color w:val="FF0000"/>
          <w:lang w:val="en-GB"/>
        </w:rPr>
        <w:t xml:space="preserve">. </w:t>
      </w:r>
      <w:r w:rsidRPr="007D23B7">
        <w:rPr>
          <w:color w:val="FF0000"/>
          <w:lang w:val="en-GB"/>
        </w:rPr>
        <w:t xml:space="preserve">This policy note will be reviewed </w:t>
      </w:r>
      <w:r w:rsidR="00C63179" w:rsidRPr="007D23B7">
        <w:rPr>
          <w:color w:val="FF0000"/>
          <w:lang w:val="en-GB"/>
        </w:rPr>
        <w:t xml:space="preserve">on a regular basis, </w:t>
      </w:r>
      <w:proofErr w:type="gramStart"/>
      <w:r w:rsidR="00C63179" w:rsidRPr="007D23B7">
        <w:rPr>
          <w:color w:val="FF0000"/>
          <w:lang w:val="en-GB"/>
        </w:rPr>
        <w:t>taking into account</w:t>
      </w:r>
      <w:proofErr w:type="gramEnd"/>
      <w:r w:rsidR="00C63179" w:rsidRPr="007D23B7">
        <w:rPr>
          <w:color w:val="FF0000"/>
          <w:lang w:val="en-GB"/>
        </w:rPr>
        <w:t xml:space="preserve"> </w:t>
      </w:r>
      <w:r w:rsidRPr="007D23B7">
        <w:rPr>
          <w:color w:val="FF0000"/>
          <w:lang w:val="en-GB"/>
        </w:rPr>
        <w:t>feedback from project operators and other stakeholders and subsequent refinements to the IPHE methodology.</w:t>
      </w:r>
      <w:r w:rsidR="00704A6C" w:rsidRPr="00BA5461">
        <w:rPr>
          <w:color w:val="FF0000"/>
          <w:lang w:val="en-GB"/>
        </w:rPr>
        <w:t xml:space="preserve"> This will include a clarification of the methods to be followed for calculating GHG emissions for Green Hydrogen derivates, such as Green Ammonia. </w:t>
      </w:r>
    </w:p>
    <w:p w14:paraId="69DC2C7C" w14:textId="77777777" w:rsidR="00554FDC" w:rsidRPr="00BA5461" w:rsidRDefault="00554FDC" w:rsidP="007D23B7">
      <w:pPr>
        <w:pStyle w:val="ListParagraph"/>
        <w:spacing w:before="240" w:after="240"/>
        <w:rPr>
          <w:lang w:val="en-GB"/>
        </w:rPr>
      </w:pPr>
    </w:p>
    <w:p w14:paraId="1EFC6156" w14:textId="40115866" w:rsidR="00554FDC" w:rsidRPr="00BA5461" w:rsidRDefault="00554FDC" w:rsidP="00554FDC">
      <w:pPr>
        <w:pStyle w:val="ListParagraph"/>
        <w:numPr>
          <w:ilvl w:val="0"/>
          <w:numId w:val="16"/>
        </w:numPr>
        <w:spacing w:before="240" w:after="240"/>
        <w:ind w:hanging="720"/>
        <w:rPr>
          <w:lang w:val="en-GB"/>
        </w:rPr>
      </w:pPr>
      <w:r w:rsidRPr="00BA5461">
        <w:rPr>
          <w:lang w:val="en-GB"/>
        </w:rPr>
        <w:t xml:space="preserve">Technology Scope (as per IPHE). </w:t>
      </w:r>
      <w:r w:rsidR="002B2CA6" w:rsidRPr="00BA5461">
        <w:rPr>
          <w:lang w:val="en-GB"/>
        </w:rPr>
        <w:t>There are currently three main electrolyser technologies, distinguished by the electrolyte</w:t>
      </w:r>
      <w:r w:rsidR="00AB01E2" w:rsidRPr="00BA5461">
        <w:rPr>
          <w:lang w:val="en-GB"/>
        </w:rPr>
        <w:t xml:space="preserve"> </w:t>
      </w:r>
      <w:r w:rsidR="002B2CA6" w:rsidRPr="00BA5461">
        <w:rPr>
          <w:lang w:val="en-GB"/>
        </w:rPr>
        <w:t xml:space="preserve">(and associated production temperatures): alkaline electrolyser, polymer </w:t>
      </w:r>
      <w:r w:rsidR="00AB01E2" w:rsidRPr="00BA5461">
        <w:rPr>
          <w:lang w:val="en-GB"/>
        </w:rPr>
        <w:t xml:space="preserve">electrolyte </w:t>
      </w:r>
      <w:r w:rsidR="002B2CA6" w:rsidRPr="00BA5461">
        <w:rPr>
          <w:lang w:val="en-GB"/>
        </w:rPr>
        <w:t>membrane (PEM) electrolyser and solid oxide (SOEC) electrolyser. This methodology may be</w:t>
      </w:r>
      <w:r w:rsidR="00AB01E2" w:rsidRPr="00BA5461">
        <w:rPr>
          <w:lang w:val="en-GB"/>
        </w:rPr>
        <w:t xml:space="preserve"> </w:t>
      </w:r>
      <w:r w:rsidR="002B2CA6" w:rsidRPr="00BA5461">
        <w:rPr>
          <w:lang w:val="en-GB"/>
        </w:rPr>
        <w:t xml:space="preserve">applied to any other electrolysis technologies. </w:t>
      </w:r>
    </w:p>
    <w:p w14:paraId="532EEBB2" w14:textId="77777777" w:rsidR="00554FDC" w:rsidRPr="00BA5461" w:rsidRDefault="00554FDC" w:rsidP="007D23B7">
      <w:pPr>
        <w:pStyle w:val="ListParagraph"/>
        <w:rPr>
          <w:lang w:val="en-GB"/>
        </w:rPr>
      </w:pPr>
    </w:p>
    <w:p w14:paraId="1EFD146C" w14:textId="77777777" w:rsidR="008C1B74" w:rsidRPr="00BA5461" w:rsidRDefault="00554FDC" w:rsidP="008C1B74">
      <w:pPr>
        <w:pStyle w:val="ListParagraph"/>
        <w:numPr>
          <w:ilvl w:val="0"/>
          <w:numId w:val="16"/>
        </w:numPr>
        <w:spacing w:before="240" w:after="240"/>
        <w:ind w:hanging="720"/>
        <w:rPr>
          <w:lang w:val="en-GB"/>
        </w:rPr>
      </w:pPr>
      <w:r w:rsidRPr="00BA5461">
        <w:rPr>
          <w:lang w:val="en-GB"/>
        </w:rPr>
        <w:t>Electrolysis Process Description (as per IPHE). A water electrolysis cell consists of an anode and a cathode separated by a membrane immerged in an electrolyte (a conductive solution). When connected to a direct current power supply, electricity flows through the electrolyte and causes the water to split into hydrogen and oxygen. Each electrolyser system consists of a stack of electrolysis units, a gas purifier and dryer and an apparatus for heat removal.</w:t>
      </w:r>
    </w:p>
    <w:p w14:paraId="6E05286E" w14:textId="77777777" w:rsidR="008C1B74" w:rsidRPr="00BA5461" w:rsidRDefault="008C1B74" w:rsidP="007D23B7">
      <w:pPr>
        <w:pStyle w:val="ListParagraph"/>
        <w:rPr>
          <w:lang w:val="en-GB"/>
        </w:rPr>
      </w:pPr>
    </w:p>
    <w:p w14:paraId="35A01DA5" w14:textId="28FA22CE" w:rsidR="00554FDC" w:rsidRPr="00BA5461" w:rsidRDefault="00554FDC" w:rsidP="007D23B7">
      <w:pPr>
        <w:pStyle w:val="ListParagraph"/>
        <w:spacing w:before="240" w:after="240"/>
        <w:rPr>
          <w:lang w:val="en-GB"/>
        </w:rPr>
      </w:pPr>
      <w:r w:rsidRPr="00BA5461">
        <w:rPr>
          <w:lang w:val="en-GB"/>
        </w:rPr>
        <w:t xml:space="preserve">Hydrogen and oxygen gas products must be purified, </w:t>
      </w:r>
      <w:proofErr w:type="gramStart"/>
      <w:r w:rsidRPr="00BA5461">
        <w:rPr>
          <w:lang w:val="en-GB"/>
        </w:rPr>
        <w:t>dried</w:t>
      </w:r>
      <w:proofErr w:type="gramEnd"/>
      <w:r w:rsidRPr="00BA5461">
        <w:rPr>
          <w:lang w:val="en-GB"/>
        </w:rPr>
        <w:t xml:space="preserve"> and cooled prior to storage</w:t>
      </w:r>
      <w:r w:rsidR="008C1B74" w:rsidRPr="00BA5461">
        <w:rPr>
          <w:lang w:val="en-GB"/>
        </w:rPr>
        <w:t xml:space="preserve"> </w:t>
      </w:r>
      <w:r w:rsidRPr="00BA5461">
        <w:rPr>
          <w:lang w:val="en-GB"/>
        </w:rPr>
        <w:t>and/or delivery to market, subject to required product specifications.</w:t>
      </w:r>
      <w:r w:rsidR="008C1B74" w:rsidRPr="00BA5461">
        <w:rPr>
          <w:lang w:val="en-GB"/>
        </w:rPr>
        <w:t xml:space="preserve"> </w:t>
      </w:r>
      <w:r w:rsidRPr="00BA5461">
        <w:rPr>
          <w:lang w:val="en-GB"/>
        </w:rPr>
        <w:t>The oxygen gas must be safely vented to the atmosphere. Alternatively, pending availability</w:t>
      </w:r>
      <w:r w:rsidR="008C1B74" w:rsidRPr="00BA5461">
        <w:rPr>
          <w:lang w:val="en-GB"/>
        </w:rPr>
        <w:t xml:space="preserve"> </w:t>
      </w:r>
      <w:r w:rsidRPr="00BA5461">
        <w:rPr>
          <w:lang w:val="en-GB"/>
        </w:rPr>
        <w:t>of appropriate markets, this oxygen may be sold as a co-product.</w:t>
      </w:r>
    </w:p>
    <w:p w14:paraId="623B3C5A" w14:textId="77777777" w:rsidR="008C1B74" w:rsidRPr="00BA5461" w:rsidRDefault="008C1B74" w:rsidP="008C1B74">
      <w:pPr>
        <w:pStyle w:val="ListParagraph"/>
        <w:spacing w:before="240" w:after="240"/>
        <w:rPr>
          <w:lang w:val="en-GB"/>
        </w:rPr>
      </w:pPr>
    </w:p>
    <w:p w14:paraId="3BCAB93E" w14:textId="28E761F6" w:rsidR="00D637C1" w:rsidRPr="00BA5461" w:rsidRDefault="00554FDC" w:rsidP="007D23B7">
      <w:pPr>
        <w:pStyle w:val="ListParagraph"/>
        <w:spacing w:before="240" w:after="240"/>
        <w:rPr>
          <w:lang w:val="en-GB"/>
        </w:rPr>
      </w:pPr>
      <w:r w:rsidRPr="00BA5461">
        <w:rPr>
          <w:lang w:val="en-GB"/>
        </w:rPr>
        <w:t xml:space="preserve">Within this emissions accounting framework, </w:t>
      </w:r>
      <w:r w:rsidR="007B6B43" w:rsidRPr="00BA5461">
        <w:rPr>
          <w:lang w:val="en-GB"/>
        </w:rPr>
        <w:t>electrolysers</w:t>
      </w:r>
      <w:r w:rsidRPr="00BA5461">
        <w:rPr>
          <w:lang w:val="en-GB"/>
        </w:rPr>
        <w:t xml:space="preserve"> are assumed to have an outlet</w:t>
      </w:r>
      <w:r w:rsidR="008C1B74" w:rsidRPr="00BA5461">
        <w:rPr>
          <w:lang w:val="en-GB"/>
        </w:rPr>
        <w:t xml:space="preserve"> </w:t>
      </w:r>
      <w:r w:rsidRPr="00BA5461">
        <w:rPr>
          <w:lang w:val="en-GB"/>
        </w:rPr>
        <w:t>pressure of 3 MPa</w:t>
      </w:r>
      <w:r w:rsidR="008C1B74" w:rsidRPr="00BA5461">
        <w:rPr>
          <w:rStyle w:val="FootnoteReference"/>
          <w:lang w:val="en-GB"/>
        </w:rPr>
        <w:footnoteReference w:id="18"/>
      </w:r>
      <w:r w:rsidRPr="00BA5461">
        <w:rPr>
          <w:lang w:val="en-GB"/>
        </w:rPr>
        <w:t xml:space="preserve">. Depending on the design of the </w:t>
      </w:r>
      <w:r w:rsidR="007B6B43" w:rsidRPr="00BA5461">
        <w:rPr>
          <w:lang w:val="en-GB"/>
        </w:rPr>
        <w:t>electrolyser</w:t>
      </w:r>
      <w:r w:rsidRPr="00BA5461">
        <w:rPr>
          <w:lang w:val="en-GB"/>
        </w:rPr>
        <w:t>, an electrolysis system</w:t>
      </w:r>
      <w:r w:rsidR="008C1B74" w:rsidRPr="00BA5461">
        <w:rPr>
          <w:lang w:val="en-GB"/>
        </w:rPr>
        <w:t xml:space="preserve"> </w:t>
      </w:r>
      <w:r w:rsidRPr="00BA5461">
        <w:rPr>
          <w:lang w:val="en-GB"/>
        </w:rPr>
        <w:t>may require compression to achieve 3 MPa pressure or drying. In that case, energy</w:t>
      </w:r>
      <w:r w:rsidR="000E06FA" w:rsidRPr="00BA5461">
        <w:rPr>
          <w:lang w:val="en-GB"/>
        </w:rPr>
        <w:t xml:space="preserve"> </w:t>
      </w:r>
      <w:r w:rsidRPr="00BA5461">
        <w:rPr>
          <w:lang w:val="en-GB"/>
        </w:rPr>
        <w:t xml:space="preserve">consumption for achieving this and the associated emission </w:t>
      </w:r>
      <w:proofErr w:type="gramStart"/>
      <w:r w:rsidRPr="00BA5461">
        <w:rPr>
          <w:lang w:val="en-GB"/>
        </w:rPr>
        <w:t>have to</w:t>
      </w:r>
      <w:proofErr w:type="gramEnd"/>
      <w:r w:rsidRPr="00BA5461">
        <w:rPr>
          <w:lang w:val="en-GB"/>
        </w:rPr>
        <w:t xml:space="preserve"> be calculated and</w:t>
      </w:r>
      <w:r w:rsidR="000E06FA" w:rsidRPr="00BA5461">
        <w:rPr>
          <w:lang w:val="en-GB"/>
        </w:rPr>
        <w:t xml:space="preserve"> </w:t>
      </w:r>
      <w:r w:rsidRPr="00BA5461">
        <w:rPr>
          <w:lang w:val="en-GB"/>
        </w:rPr>
        <w:t>included.</w:t>
      </w:r>
    </w:p>
    <w:p w14:paraId="6ED85FE0" w14:textId="32FA9140" w:rsidR="007B6B43" w:rsidRPr="007D23B7" w:rsidRDefault="007B6B43" w:rsidP="007B6B43">
      <w:pPr>
        <w:spacing w:before="240" w:after="240"/>
        <w:rPr>
          <w:b/>
          <w:bCs/>
          <w:lang w:val="en-GB"/>
        </w:rPr>
      </w:pPr>
      <w:r w:rsidRPr="007D23B7">
        <w:rPr>
          <w:b/>
          <w:bCs/>
          <w:lang w:val="en-GB"/>
        </w:rPr>
        <w:t>Process diagram for hydrogen produced from electrolysis</w:t>
      </w:r>
    </w:p>
    <w:p w14:paraId="6B2F07D3" w14:textId="4055067D" w:rsidR="00394472" w:rsidRPr="00BA5461" w:rsidRDefault="00394472" w:rsidP="001B60BE">
      <w:pPr>
        <w:spacing w:before="240" w:after="240"/>
        <w:rPr>
          <w:lang w:val="en-GB"/>
        </w:rPr>
      </w:pPr>
      <w:r w:rsidRPr="00BA5461">
        <w:rPr>
          <w:noProof/>
          <w:lang w:val="en-GB"/>
        </w:rPr>
        <w:lastRenderedPageBreak/>
        <w:drawing>
          <wp:inline distT="0" distB="0" distL="0" distR="0" wp14:anchorId="18E6B23E" wp14:editId="74A97D2F">
            <wp:extent cx="6116320" cy="356743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6"/>
                    <a:stretch>
                      <a:fillRect/>
                    </a:stretch>
                  </pic:blipFill>
                  <pic:spPr>
                    <a:xfrm>
                      <a:off x="0" y="0"/>
                      <a:ext cx="6116320" cy="3567430"/>
                    </a:xfrm>
                    <a:prstGeom prst="rect">
                      <a:avLst/>
                    </a:prstGeom>
                  </pic:spPr>
                </pic:pic>
              </a:graphicData>
            </a:graphic>
          </wp:inline>
        </w:drawing>
      </w:r>
    </w:p>
    <w:p w14:paraId="4D32A3D0" w14:textId="53D28FF9" w:rsidR="001130C9" w:rsidRPr="00BA5461" w:rsidRDefault="001130C9" w:rsidP="007D23B7">
      <w:pPr>
        <w:pStyle w:val="ListParagraph"/>
        <w:numPr>
          <w:ilvl w:val="0"/>
          <w:numId w:val="16"/>
        </w:numPr>
        <w:spacing w:before="240" w:after="240"/>
        <w:ind w:hanging="720"/>
        <w:rPr>
          <w:lang w:val="en-GB"/>
        </w:rPr>
      </w:pPr>
      <w:r w:rsidRPr="00BA5461">
        <w:rPr>
          <w:lang w:val="en-GB"/>
        </w:rPr>
        <w:t>Emissions Sources in Electrolysis (as per IPHE). GHG emissions associated with electrolysis are subject to the nature of electricity supply for</w:t>
      </w:r>
      <w:r w:rsidR="00E45797" w:rsidRPr="00BA5461">
        <w:rPr>
          <w:lang w:val="en-GB"/>
        </w:rPr>
        <w:t xml:space="preserve"> </w:t>
      </w:r>
      <w:r w:rsidRPr="00BA5461">
        <w:rPr>
          <w:lang w:val="en-GB"/>
        </w:rPr>
        <w:t>electrolysis as electricity can be sourced from the grid (noting that this may be impacted by</w:t>
      </w:r>
      <w:r w:rsidR="00E45797" w:rsidRPr="00BA5461">
        <w:rPr>
          <w:lang w:val="en-GB"/>
        </w:rPr>
        <w:t xml:space="preserve"> </w:t>
      </w:r>
      <w:r w:rsidRPr="00BA5461">
        <w:rPr>
          <w:lang w:val="en-GB"/>
        </w:rPr>
        <w:t>contracting of renewable electricity supply and associated instruments), generated on-site</w:t>
      </w:r>
      <w:r w:rsidR="00E45797" w:rsidRPr="00BA5461">
        <w:rPr>
          <w:lang w:val="en-GB"/>
        </w:rPr>
        <w:t xml:space="preserve"> </w:t>
      </w:r>
      <w:r w:rsidRPr="00BA5461">
        <w:rPr>
          <w:lang w:val="en-GB"/>
        </w:rPr>
        <w:t>via the combustion of liquid, gaseous and/or solid fuels (in this case, this would be the key</w:t>
      </w:r>
      <w:r w:rsidR="00E45797" w:rsidRPr="00BA5461">
        <w:rPr>
          <w:lang w:val="en-GB"/>
        </w:rPr>
        <w:t xml:space="preserve"> </w:t>
      </w:r>
      <w:r w:rsidRPr="00BA5461">
        <w:rPr>
          <w:lang w:val="en-GB"/>
        </w:rPr>
        <w:t>emissions source) or supplied from an off-grid on-site system.</w:t>
      </w:r>
      <w:r w:rsidR="00E45797" w:rsidRPr="00BA5461">
        <w:rPr>
          <w:lang w:val="en-GB"/>
        </w:rPr>
        <w:t xml:space="preserve"> </w:t>
      </w:r>
      <w:r w:rsidRPr="00BA5461">
        <w:rPr>
          <w:lang w:val="en-GB"/>
        </w:rPr>
        <w:t xml:space="preserve">Each process unit or stage in the electrolysis process contains emissions sources outlined </w:t>
      </w:r>
      <w:r w:rsidR="00E45797" w:rsidRPr="00BA5461">
        <w:rPr>
          <w:lang w:val="en-GB"/>
        </w:rPr>
        <w:t>below.</w:t>
      </w:r>
    </w:p>
    <w:p w14:paraId="6FE9D5D7" w14:textId="7400D543" w:rsidR="00394472" w:rsidRPr="007D23B7" w:rsidRDefault="001130C9" w:rsidP="00E45797">
      <w:pPr>
        <w:spacing w:before="240" w:after="240"/>
        <w:ind w:firstLine="720"/>
        <w:rPr>
          <w:i/>
          <w:iCs/>
          <w:lang w:val="en-GB"/>
        </w:rPr>
      </w:pPr>
      <w:r w:rsidRPr="007D23B7">
        <w:rPr>
          <w:i/>
          <w:iCs/>
          <w:lang w:val="en-GB"/>
        </w:rPr>
        <w:t>GHG emissions summary for electrolysis</w:t>
      </w:r>
    </w:p>
    <w:tbl>
      <w:tblPr>
        <w:tblStyle w:val="TableGrid"/>
        <w:tblW w:w="8647" w:type="dxa"/>
        <w:tblInd w:w="704" w:type="dxa"/>
        <w:tblLook w:val="04A0" w:firstRow="1" w:lastRow="0" w:firstColumn="1" w:lastColumn="0" w:noHBand="0" w:noVBand="1"/>
      </w:tblPr>
      <w:tblGrid>
        <w:gridCol w:w="2693"/>
        <w:gridCol w:w="2410"/>
        <w:gridCol w:w="3544"/>
      </w:tblGrid>
      <w:tr w:rsidR="000E36DB" w:rsidRPr="00BA5461" w14:paraId="52874797" w14:textId="77777777" w:rsidTr="00613D40">
        <w:tc>
          <w:tcPr>
            <w:tcW w:w="2693" w:type="dxa"/>
            <w:shd w:val="clear" w:color="auto" w:fill="385623" w:themeFill="accent6" w:themeFillShade="80"/>
          </w:tcPr>
          <w:p w14:paraId="1CFC2D1D" w14:textId="5D5C808F" w:rsidR="00E45797" w:rsidRPr="007D23B7" w:rsidRDefault="001D2744" w:rsidP="007D23B7">
            <w:pPr>
              <w:rPr>
                <w:color w:val="FFFFFF" w:themeColor="background1"/>
                <w:lang w:val="en-GB"/>
              </w:rPr>
            </w:pPr>
            <w:r w:rsidRPr="007D23B7">
              <w:rPr>
                <w:color w:val="FFFFFF" w:themeColor="background1"/>
                <w:lang w:val="en-GB"/>
              </w:rPr>
              <w:t>Process unit/stage</w:t>
            </w:r>
          </w:p>
        </w:tc>
        <w:tc>
          <w:tcPr>
            <w:tcW w:w="2410" w:type="dxa"/>
            <w:shd w:val="clear" w:color="auto" w:fill="385623" w:themeFill="accent6" w:themeFillShade="80"/>
          </w:tcPr>
          <w:p w14:paraId="115B6623" w14:textId="68C63E3C" w:rsidR="00E45797" w:rsidRPr="007D23B7" w:rsidRDefault="009D759B" w:rsidP="007D23B7">
            <w:pPr>
              <w:rPr>
                <w:color w:val="FFFFFF" w:themeColor="background1"/>
                <w:lang w:val="en-GB"/>
              </w:rPr>
            </w:pPr>
            <w:r w:rsidRPr="007D23B7">
              <w:rPr>
                <w:color w:val="FFFFFF" w:themeColor="background1"/>
                <w:lang w:val="en-GB"/>
              </w:rPr>
              <w:t>Key emissions sources</w:t>
            </w:r>
          </w:p>
        </w:tc>
        <w:tc>
          <w:tcPr>
            <w:tcW w:w="3544" w:type="dxa"/>
            <w:shd w:val="clear" w:color="auto" w:fill="385623" w:themeFill="accent6" w:themeFillShade="80"/>
          </w:tcPr>
          <w:p w14:paraId="7A6A13D2" w14:textId="68546D53" w:rsidR="00E45797" w:rsidRPr="007D23B7" w:rsidRDefault="009D759B" w:rsidP="007D23B7">
            <w:pPr>
              <w:rPr>
                <w:color w:val="FFFFFF" w:themeColor="background1"/>
                <w:lang w:val="en-GB"/>
              </w:rPr>
            </w:pPr>
            <w:r w:rsidRPr="007D23B7">
              <w:rPr>
                <w:color w:val="FFFFFF" w:themeColor="background1"/>
                <w:lang w:val="en-GB"/>
              </w:rPr>
              <w:t>Other emissions sources</w:t>
            </w:r>
          </w:p>
        </w:tc>
      </w:tr>
      <w:tr w:rsidR="001D2744" w:rsidRPr="00BA5461" w14:paraId="349897DB" w14:textId="77777777" w:rsidTr="00613D40">
        <w:tc>
          <w:tcPr>
            <w:tcW w:w="2693" w:type="dxa"/>
          </w:tcPr>
          <w:p w14:paraId="2AD23FB4" w14:textId="06DB9231" w:rsidR="00E45797" w:rsidRPr="00BA5461" w:rsidRDefault="009D759B" w:rsidP="007D23B7">
            <w:pPr>
              <w:rPr>
                <w:lang w:val="en-GB"/>
              </w:rPr>
            </w:pPr>
            <w:r w:rsidRPr="00BA5461">
              <w:rPr>
                <w:lang w:val="en-GB"/>
              </w:rPr>
              <w:t>Water supply and treatment</w:t>
            </w:r>
          </w:p>
        </w:tc>
        <w:tc>
          <w:tcPr>
            <w:tcW w:w="2410" w:type="dxa"/>
          </w:tcPr>
          <w:p w14:paraId="5EE299AE" w14:textId="5E675A04" w:rsidR="00E45797" w:rsidRPr="00BA5461" w:rsidRDefault="00C832ED" w:rsidP="007D23B7">
            <w:pPr>
              <w:rPr>
                <w:lang w:val="en-GB"/>
              </w:rPr>
            </w:pPr>
            <w:r w:rsidRPr="00BA5461">
              <w:rPr>
                <w:lang w:val="en-GB"/>
              </w:rPr>
              <w:t>Electricity for purification and filtration.</w:t>
            </w:r>
          </w:p>
        </w:tc>
        <w:tc>
          <w:tcPr>
            <w:tcW w:w="3544" w:type="dxa"/>
          </w:tcPr>
          <w:p w14:paraId="362E9861" w14:textId="77777777" w:rsidR="00E45797" w:rsidRPr="00BA5461" w:rsidRDefault="00E45797" w:rsidP="007D23B7">
            <w:pPr>
              <w:rPr>
                <w:lang w:val="en-GB"/>
              </w:rPr>
            </w:pPr>
          </w:p>
        </w:tc>
      </w:tr>
      <w:tr w:rsidR="001D2744" w:rsidRPr="00BA5461" w14:paraId="26CBC929" w14:textId="77777777" w:rsidTr="00613D40">
        <w:tc>
          <w:tcPr>
            <w:tcW w:w="2693" w:type="dxa"/>
          </w:tcPr>
          <w:p w14:paraId="5D06857F" w14:textId="68F002C5" w:rsidR="00E45797" w:rsidRPr="00BA5461" w:rsidRDefault="00C832ED" w:rsidP="007D23B7">
            <w:pPr>
              <w:rPr>
                <w:lang w:val="en-GB"/>
              </w:rPr>
            </w:pPr>
            <w:r w:rsidRPr="00BA5461">
              <w:rPr>
                <w:lang w:val="en-GB"/>
              </w:rPr>
              <w:t>Hydrogen production</w:t>
            </w:r>
          </w:p>
        </w:tc>
        <w:tc>
          <w:tcPr>
            <w:tcW w:w="2410" w:type="dxa"/>
          </w:tcPr>
          <w:p w14:paraId="5E3C4A47" w14:textId="11233A50" w:rsidR="00E45797" w:rsidRPr="00BA5461" w:rsidRDefault="00C832ED" w:rsidP="007D23B7">
            <w:pPr>
              <w:rPr>
                <w:lang w:val="en-GB"/>
              </w:rPr>
            </w:pPr>
            <w:r w:rsidRPr="00BA5461">
              <w:rPr>
                <w:lang w:val="en-GB"/>
              </w:rPr>
              <w:t>Electricity for electrolyser units</w:t>
            </w:r>
          </w:p>
        </w:tc>
        <w:tc>
          <w:tcPr>
            <w:tcW w:w="3544" w:type="dxa"/>
          </w:tcPr>
          <w:p w14:paraId="3624C9F3" w14:textId="491B42EF" w:rsidR="00867176" w:rsidRPr="00BA5461" w:rsidRDefault="00867176" w:rsidP="007D23B7">
            <w:pPr>
              <w:rPr>
                <w:lang w:val="en-GB"/>
              </w:rPr>
            </w:pPr>
            <w:r w:rsidRPr="00BA5461">
              <w:rPr>
                <w:lang w:val="en-GB"/>
              </w:rPr>
              <w:t>Steam (where purchased).</w:t>
            </w:r>
            <w:r w:rsidR="00006162" w:rsidRPr="00BA5461">
              <w:rPr>
                <w:rStyle w:val="FootnoteReference"/>
                <w:lang w:val="en-GB"/>
              </w:rPr>
              <w:footnoteReference w:id="19"/>
            </w:r>
          </w:p>
          <w:p w14:paraId="2CBD6F2F" w14:textId="3988FCBC" w:rsidR="00867176" w:rsidRPr="00BA5461" w:rsidRDefault="00867176" w:rsidP="007D23B7">
            <w:pPr>
              <w:rPr>
                <w:lang w:val="en-GB"/>
              </w:rPr>
            </w:pPr>
            <w:r w:rsidRPr="00BA5461">
              <w:rPr>
                <w:lang w:val="en-GB"/>
              </w:rPr>
              <w:t>Liquid, solid and/or gaseous fuel combustion for steam generation</w:t>
            </w:r>
            <w:r w:rsidR="00006162" w:rsidRPr="00BA5461">
              <w:rPr>
                <w:lang w:val="en-GB"/>
              </w:rPr>
              <w:t>.</w:t>
            </w:r>
            <w:r w:rsidR="00006162" w:rsidRPr="00BA5461">
              <w:rPr>
                <w:rStyle w:val="FootnoteReference"/>
                <w:lang w:val="en-GB"/>
              </w:rPr>
              <w:footnoteReference w:id="20"/>
            </w:r>
          </w:p>
          <w:p w14:paraId="49FA6A46" w14:textId="0CAB1918" w:rsidR="00E45797" w:rsidRPr="00BA5461" w:rsidRDefault="00867176" w:rsidP="007D23B7">
            <w:pPr>
              <w:rPr>
                <w:lang w:val="en-GB"/>
              </w:rPr>
            </w:pPr>
            <w:r w:rsidRPr="00BA5461">
              <w:rPr>
                <w:lang w:val="en-GB"/>
              </w:rPr>
              <w:t>Liquid, solid and/or gaseous fuel combustion for electricity generation.</w:t>
            </w:r>
            <w:r w:rsidR="00E97EC1" w:rsidRPr="00BA5461">
              <w:rPr>
                <w:rStyle w:val="FootnoteReference"/>
                <w:lang w:val="en-GB"/>
              </w:rPr>
              <w:footnoteReference w:id="21"/>
            </w:r>
          </w:p>
        </w:tc>
      </w:tr>
      <w:tr w:rsidR="001D2744" w:rsidRPr="00BA5461" w14:paraId="033C5271" w14:textId="77777777" w:rsidTr="00613D40">
        <w:tc>
          <w:tcPr>
            <w:tcW w:w="2693" w:type="dxa"/>
          </w:tcPr>
          <w:p w14:paraId="72F0F98A" w14:textId="3ABFCADB" w:rsidR="00E45797" w:rsidRPr="00BA5461" w:rsidRDefault="00E97EC1" w:rsidP="007D23B7">
            <w:pPr>
              <w:rPr>
                <w:lang w:val="en-GB"/>
              </w:rPr>
            </w:pPr>
            <w:r w:rsidRPr="00BA5461">
              <w:rPr>
                <w:lang w:val="en-GB"/>
              </w:rPr>
              <w:t>Hydrogen compression, purification, drying and cooling</w:t>
            </w:r>
          </w:p>
        </w:tc>
        <w:tc>
          <w:tcPr>
            <w:tcW w:w="2410" w:type="dxa"/>
          </w:tcPr>
          <w:p w14:paraId="21A2268F" w14:textId="5C902FC5" w:rsidR="00E45797" w:rsidRPr="00BA5461" w:rsidRDefault="00156617" w:rsidP="007D23B7">
            <w:pPr>
              <w:rPr>
                <w:lang w:val="en-GB"/>
              </w:rPr>
            </w:pPr>
            <w:r w:rsidRPr="00BA5461">
              <w:rPr>
                <w:lang w:val="en-GB"/>
              </w:rPr>
              <w:t>Electricity for relevant units</w:t>
            </w:r>
          </w:p>
        </w:tc>
        <w:tc>
          <w:tcPr>
            <w:tcW w:w="3544" w:type="dxa"/>
          </w:tcPr>
          <w:p w14:paraId="3973771D" w14:textId="77777777" w:rsidR="00156617" w:rsidRPr="00BA5461" w:rsidRDefault="00156617" w:rsidP="007D23B7">
            <w:pPr>
              <w:rPr>
                <w:lang w:val="en-GB"/>
              </w:rPr>
            </w:pPr>
            <w:r w:rsidRPr="00BA5461">
              <w:rPr>
                <w:lang w:val="en-GB"/>
              </w:rPr>
              <w:t xml:space="preserve">Steam (where purchased) </w:t>
            </w:r>
          </w:p>
          <w:p w14:paraId="64AE0680" w14:textId="5B45904A" w:rsidR="00E45797" w:rsidRPr="00BA5461" w:rsidRDefault="00156617" w:rsidP="007D23B7">
            <w:pPr>
              <w:rPr>
                <w:lang w:val="en-GB"/>
              </w:rPr>
            </w:pPr>
            <w:r w:rsidRPr="00BA5461">
              <w:rPr>
                <w:lang w:val="en-GB"/>
              </w:rPr>
              <w:t>Solid, liquid and/or gaseous fuel combustion for relevant units and/or steam generation.</w:t>
            </w:r>
          </w:p>
        </w:tc>
      </w:tr>
    </w:tbl>
    <w:p w14:paraId="07AAFF91" w14:textId="7D68A5D3" w:rsidR="00E45797" w:rsidRPr="007D23B7" w:rsidRDefault="000F40DF" w:rsidP="007D23B7">
      <w:pPr>
        <w:pStyle w:val="ListParagraph"/>
        <w:numPr>
          <w:ilvl w:val="0"/>
          <w:numId w:val="16"/>
        </w:numPr>
        <w:spacing w:before="240" w:after="240"/>
        <w:ind w:hanging="720"/>
        <w:rPr>
          <w:color w:val="FF0000"/>
          <w:lang w:val="en-GB"/>
        </w:rPr>
      </w:pPr>
      <w:r w:rsidRPr="007D23B7">
        <w:rPr>
          <w:color w:val="FF0000"/>
          <w:lang w:val="en-GB"/>
        </w:rPr>
        <w:lastRenderedPageBreak/>
        <w:t xml:space="preserve">The </w:t>
      </w:r>
      <w:r w:rsidR="00E5055B" w:rsidRPr="007D23B7">
        <w:rPr>
          <w:color w:val="FF0000"/>
          <w:lang w:val="en-GB"/>
        </w:rPr>
        <w:t xml:space="preserve">process, methods and requirements of hydrogen life cycle impact assessment </w:t>
      </w:r>
      <w:r w:rsidR="00F40278" w:rsidRPr="007D23B7">
        <w:rPr>
          <w:color w:val="FF0000"/>
          <w:lang w:val="en-GB"/>
        </w:rPr>
        <w:t xml:space="preserve">are </w:t>
      </w:r>
      <w:r w:rsidR="002C77A2" w:rsidRPr="007D23B7">
        <w:rPr>
          <w:color w:val="FF0000"/>
          <w:lang w:val="en-GB"/>
        </w:rPr>
        <w:t>as per IPHE</w:t>
      </w:r>
      <w:r w:rsidR="008F43E0" w:rsidRPr="007D23B7">
        <w:rPr>
          <w:color w:val="FF0000"/>
          <w:lang w:val="en-GB"/>
        </w:rPr>
        <w:t xml:space="preserve"> </w:t>
      </w:r>
      <w:r w:rsidR="008F43E0" w:rsidRPr="007D23B7">
        <w:rPr>
          <w:rFonts w:cstheme="minorHAnsi"/>
          <w:color w:val="FF0000"/>
          <w:lang w:val="en-GB"/>
        </w:rPr>
        <w:t>§</w:t>
      </w:r>
      <w:r w:rsidRPr="007D23B7">
        <w:rPr>
          <w:color w:val="FF0000"/>
          <w:lang w:val="en-GB"/>
        </w:rPr>
        <w:t>6.3</w:t>
      </w:r>
      <w:r w:rsidR="00F40278" w:rsidRPr="007D23B7">
        <w:rPr>
          <w:color w:val="FF0000"/>
          <w:lang w:val="en-GB"/>
        </w:rPr>
        <w:t xml:space="preserve"> (and</w:t>
      </w:r>
      <w:r w:rsidR="00E5055B" w:rsidRPr="007D23B7">
        <w:rPr>
          <w:color w:val="FF0000"/>
          <w:lang w:val="en-GB"/>
        </w:rPr>
        <w:t xml:space="preserve"> </w:t>
      </w:r>
      <w:r w:rsidRPr="007D23B7">
        <w:rPr>
          <w:color w:val="FF0000"/>
          <w:lang w:val="en-GB"/>
        </w:rPr>
        <w:t>ISO 14044</w:t>
      </w:r>
      <w:r w:rsidR="00F40278" w:rsidRPr="007D23B7">
        <w:rPr>
          <w:color w:val="FF0000"/>
          <w:lang w:val="en-GB"/>
        </w:rPr>
        <w:t xml:space="preserve">) with one modification. </w:t>
      </w:r>
      <w:r w:rsidR="00E5055B" w:rsidRPr="007D23B7">
        <w:rPr>
          <w:color w:val="FF0000"/>
          <w:lang w:val="en-GB"/>
        </w:rPr>
        <w:t>Specifically: the IPHE methodology stipulates: “the GHG impact of electricity generation from wind, solar photovoltaic, hydropower and geothermal will be assumed to be zero” (</w:t>
      </w:r>
      <w:r w:rsidR="00E5055B" w:rsidRPr="007D23B7">
        <w:rPr>
          <w:rFonts w:cstheme="minorHAnsi"/>
          <w:color w:val="FF0000"/>
          <w:lang w:val="en-GB"/>
        </w:rPr>
        <w:t>§</w:t>
      </w:r>
      <w:r w:rsidR="00E5055B" w:rsidRPr="007D23B7">
        <w:rPr>
          <w:color w:val="FF0000"/>
          <w:lang w:val="en-GB"/>
        </w:rPr>
        <w:t xml:space="preserve">6.2.3 p27). GH2 notes that these emissions may be &gt; </w:t>
      </w:r>
      <w:proofErr w:type="gramStart"/>
      <w:r w:rsidR="00E5055B" w:rsidRPr="007D23B7">
        <w:rPr>
          <w:color w:val="FF0000"/>
          <w:lang w:val="en-GB"/>
        </w:rPr>
        <w:t>0, and</w:t>
      </w:r>
      <w:proofErr w:type="gramEnd"/>
      <w:r w:rsidR="00E5055B" w:rsidRPr="007D23B7">
        <w:rPr>
          <w:color w:val="FF0000"/>
          <w:lang w:val="en-GB"/>
        </w:rPr>
        <w:t xml:space="preserve"> requires that these emissions are quantified.</w:t>
      </w:r>
    </w:p>
    <w:p w14:paraId="55DE6D0C" w14:textId="6B1A5366" w:rsidR="001840A5" w:rsidRPr="00BA5461" w:rsidRDefault="001840A5" w:rsidP="001840A5">
      <w:pPr>
        <w:pStyle w:val="Heading1"/>
        <w:spacing w:after="240"/>
        <w:rPr>
          <w:lang w:val="en-GB"/>
        </w:rPr>
      </w:pPr>
      <w:r w:rsidRPr="00BA5461">
        <w:rPr>
          <w:lang w:val="en-GB"/>
        </w:rPr>
        <w:t>Forthcoming Policy Notes (31 December 2022)</w:t>
      </w:r>
    </w:p>
    <w:p w14:paraId="34E2207B" w14:textId="3AE06A8A" w:rsidR="00920EC8" w:rsidRPr="00BA5461" w:rsidRDefault="00920EC8" w:rsidP="007D23B7">
      <w:pPr>
        <w:pStyle w:val="ListParagraph"/>
        <w:numPr>
          <w:ilvl w:val="0"/>
          <w:numId w:val="10"/>
        </w:numPr>
        <w:spacing w:before="240" w:after="240"/>
        <w:ind w:left="714" w:hanging="357"/>
        <w:rPr>
          <w:lang w:val="en-GB"/>
        </w:rPr>
      </w:pPr>
      <w:bookmarkStart w:id="26" w:name="_Hlk98259112"/>
      <w:r w:rsidRPr="00BA5461">
        <w:rPr>
          <w:lang w:val="en-GB"/>
        </w:rPr>
        <w:t>Procedure for the appointment of Independent Assurance Providers (IAPs)</w:t>
      </w:r>
    </w:p>
    <w:bookmarkEnd w:id="26"/>
    <w:p w14:paraId="4C33EA8D" w14:textId="07D845D6" w:rsidR="00920EC8" w:rsidRPr="00BA5461" w:rsidRDefault="00F22C8F" w:rsidP="007D23B7">
      <w:pPr>
        <w:pStyle w:val="ListParagraph"/>
        <w:numPr>
          <w:ilvl w:val="0"/>
          <w:numId w:val="10"/>
        </w:numPr>
        <w:spacing w:before="240" w:after="240"/>
        <w:ind w:left="714" w:hanging="357"/>
        <w:rPr>
          <w:lang w:val="en-GB"/>
        </w:rPr>
      </w:pPr>
      <w:r w:rsidRPr="00BA5461">
        <w:rPr>
          <w:lang w:val="en-GB"/>
        </w:rPr>
        <w:t>Standard terms of Reference for the engagement of an</w:t>
      </w:r>
      <w:r w:rsidR="00920EC8" w:rsidRPr="00BA5461">
        <w:rPr>
          <w:lang w:val="en-GB"/>
        </w:rPr>
        <w:t xml:space="preserve"> Independent Assurance Provider</w:t>
      </w:r>
      <w:r w:rsidR="001840A5" w:rsidRPr="00BA5461">
        <w:rPr>
          <w:lang w:val="en-GB"/>
        </w:rPr>
        <w:t>.</w:t>
      </w:r>
    </w:p>
    <w:p w14:paraId="4804CEC2" w14:textId="5A6B7F0B" w:rsidR="00920EC8" w:rsidRPr="00BA5461" w:rsidRDefault="00F22C8F" w:rsidP="007D23B7">
      <w:pPr>
        <w:pStyle w:val="ListParagraph"/>
        <w:numPr>
          <w:ilvl w:val="0"/>
          <w:numId w:val="10"/>
        </w:numPr>
        <w:spacing w:before="240" w:after="240"/>
        <w:ind w:left="714" w:hanging="357"/>
        <w:rPr>
          <w:lang w:val="en-GB"/>
        </w:rPr>
      </w:pPr>
      <w:r w:rsidRPr="00BA5461">
        <w:rPr>
          <w:lang w:val="en-GB"/>
        </w:rPr>
        <w:t xml:space="preserve">Terms of Reference for the </w:t>
      </w:r>
      <w:r w:rsidR="00920EC8" w:rsidRPr="00BA5461">
        <w:rPr>
          <w:lang w:val="en-GB"/>
        </w:rPr>
        <w:t xml:space="preserve">GH2 </w:t>
      </w:r>
      <w:r w:rsidRPr="00BA5461">
        <w:rPr>
          <w:lang w:val="en-GB"/>
        </w:rPr>
        <w:t xml:space="preserve">Accreditation and </w:t>
      </w:r>
      <w:r w:rsidR="00920EC8" w:rsidRPr="00BA5461">
        <w:rPr>
          <w:lang w:val="en-GB"/>
        </w:rPr>
        <w:t>Certification Body</w:t>
      </w:r>
      <w:r w:rsidR="001840A5" w:rsidRPr="00BA5461">
        <w:rPr>
          <w:lang w:val="en-GB"/>
        </w:rPr>
        <w:t>.</w:t>
      </w:r>
    </w:p>
    <w:p w14:paraId="132DB099" w14:textId="38746BAE" w:rsidR="00D55B02" w:rsidRPr="00BA5461" w:rsidRDefault="006418A1" w:rsidP="007D23B7">
      <w:pPr>
        <w:pStyle w:val="ListParagraph"/>
        <w:numPr>
          <w:ilvl w:val="0"/>
          <w:numId w:val="10"/>
        </w:numPr>
        <w:spacing w:before="240" w:after="240"/>
        <w:ind w:left="714" w:hanging="357"/>
        <w:rPr>
          <w:lang w:val="en-GB"/>
        </w:rPr>
      </w:pPr>
      <w:r w:rsidRPr="00BA5461">
        <w:rPr>
          <w:lang w:val="en-GB"/>
        </w:rPr>
        <w:t xml:space="preserve">Terms of Reference for </w:t>
      </w:r>
      <w:r w:rsidR="00920EC8" w:rsidRPr="00BA5461">
        <w:rPr>
          <w:lang w:val="en-GB"/>
        </w:rPr>
        <w:t xml:space="preserve">the GH2 </w:t>
      </w:r>
      <w:r w:rsidR="00F83C5A" w:rsidRPr="00BA5461">
        <w:rPr>
          <w:lang w:val="en-GB"/>
        </w:rPr>
        <w:t>Registry</w:t>
      </w:r>
      <w:r w:rsidR="00920EC8" w:rsidRPr="00BA5461">
        <w:rPr>
          <w:lang w:val="en-GB"/>
        </w:rPr>
        <w:t>.</w:t>
      </w:r>
    </w:p>
    <w:p w14:paraId="7C7022A9" w14:textId="7622F38E" w:rsidR="0080106C" w:rsidRPr="00BA5461" w:rsidRDefault="0080106C" w:rsidP="007D23B7">
      <w:pPr>
        <w:pStyle w:val="ListParagraph"/>
        <w:keepNext/>
        <w:keepLines/>
        <w:spacing w:before="240" w:after="240"/>
        <w:ind w:left="0"/>
        <w:contextualSpacing w:val="0"/>
        <w:outlineLvl w:val="0"/>
        <w:rPr>
          <w:sz w:val="20"/>
          <w:szCs w:val="20"/>
          <w:lang w:val="en-GB"/>
        </w:rPr>
      </w:pPr>
    </w:p>
    <w:sectPr w:rsidR="0080106C" w:rsidRPr="00BA5461" w:rsidSect="006755C6">
      <w:headerReference w:type="default" r:id="rId17"/>
      <w:footerReference w:type="default" r:id="rId18"/>
      <w:pgSz w:w="12240" w:h="15840"/>
      <w:pgMar w:top="1304" w:right="1304" w:bottom="130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65FE" w14:textId="77777777" w:rsidR="00AB33E2" w:rsidRDefault="00AB33E2" w:rsidP="006565B1">
      <w:pPr>
        <w:spacing w:after="0" w:line="240" w:lineRule="auto"/>
      </w:pPr>
      <w:r>
        <w:separator/>
      </w:r>
    </w:p>
  </w:endnote>
  <w:endnote w:type="continuationSeparator" w:id="0">
    <w:p w14:paraId="066D6562" w14:textId="77777777" w:rsidR="00AB33E2" w:rsidRDefault="00AB33E2" w:rsidP="006565B1">
      <w:pPr>
        <w:spacing w:after="0" w:line="240" w:lineRule="auto"/>
      </w:pPr>
      <w:r>
        <w:continuationSeparator/>
      </w:r>
    </w:p>
  </w:endnote>
  <w:endnote w:type="continuationNotice" w:id="1">
    <w:p w14:paraId="30A863BD" w14:textId="77777777" w:rsidR="00AB33E2" w:rsidRDefault="00AB3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01C5" w14:textId="77777777" w:rsidR="00A67E4D" w:rsidRPr="000F7485" w:rsidRDefault="003E718B" w:rsidP="000F7485">
    <w:pPr>
      <w:pStyle w:val="Footer"/>
      <w:jc w:val="right"/>
      <w:rPr>
        <w:rFonts w:ascii="Calibri Light" w:hAnsi="Calibri Light" w:cs="Calibri Light"/>
      </w:rPr>
    </w:pPr>
    <w:r w:rsidRPr="000F7485">
      <w:rPr>
        <w:rFonts w:ascii="Calibri Light" w:hAnsi="Calibri Light" w:cs="Calibri Light"/>
      </w:rPr>
      <w:t xml:space="preserve">Page </w:t>
    </w:r>
    <w:sdt>
      <w:sdtPr>
        <w:rPr>
          <w:rFonts w:ascii="Calibri Light" w:hAnsi="Calibri Light" w:cs="Calibri Light"/>
        </w:rPr>
        <w:id w:val="-1504883681"/>
        <w:docPartObj>
          <w:docPartGallery w:val="Page Numbers (Bottom of Page)"/>
          <w:docPartUnique/>
        </w:docPartObj>
      </w:sdtPr>
      <w:sdtEndPr>
        <w:rPr>
          <w:noProof/>
        </w:rPr>
      </w:sdtEndPr>
      <w:sdtContent>
        <w:r w:rsidRPr="000F7485">
          <w:rPr>
            <w:rFonts w:ascii="Calibri Light" w:hAnsi="Calibri Light" w:cs="Calibri Light"/>
          </w:rPr>
          <w:fldChar w:fldCharType="begin"/>
        </w:r>
        <w:r w:rsidRPr="000F7485">
          <w:rPr>
            <w:rFonts w:ascii="Calibri Light" w:hAnsi="Calibri Light" w:cs="Calibri Light"/>
          </w:rPr>
          <w:instrText xml:space="preserve"> PAGE   \* MERGEFORMAT </w:instrText>
        </w:r>
        <w:r w:rsidRPr="000F7485">
          <w:rPr>
            <w:rFonts w:ascii="Calibri Light" w:hAnsi="Calibri Light" w:cs="Calibri Light"/>
          </w:rPr>
          <w:fldChar w:fldCharType="separate"/>
        </w:r>
        <w:r w:rsidRPr="000F7485">
          <w:rPr>
            <w:rFonts w:ascii="Calibri Light" w:hAnsi="Calibri Light" w:cs="Calibri Light"/>
            <w:noProof/>
          </w:rPr>
          <w:t>2</w:t>
        </w:r>
        <w:r w:rsidRPr="000F7485">
          <w:rPr>
            <w:rFonts w:ascii="Calibri Light" w:hAnsi="Calibri Light" w:cs="Calibri Light"/>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68C9" w14:textId="77777777" w:rsidR="00AB33E2" w:rsidRDefault="00AB33E2" w:rsidP="006565B1">
      <w:pPr>
        <w:spacing w:after="0" w:line="240" w:lineRule="auto"/>
      </w:pPr>
      <w:r>
        <w:separator/>
      </w:r>
    </w:p>
  </w:footnote>
  <w:footnote w:type="continuationSeparator" w:id="0">
    <w:p w14:paraId="3C155085" w14:textId="77777777" w:rsidR="00AB33E2" w:rsidRDefault="00AB33E2" w:rsidP="006565B1">
      <w:pPr>
        <w:spacing w:after="0" w:line="240" w:lineRule="auto"/>
      </w:pPr>
      <w:r>
        <w:continuationSeparator/>
      </w:r>
    </w:p>
  </w:footnote>
  <w:footnote w:type="continuationNotice" w:id="1">
    <w:p w14:paraId="6E5192DD" w14:textId="77777777" w:rsidR="00AB33E2" w:rsidRDefault="00AB33E2">
      <w:pPr>
        <w:spacing w:after="0" w:line="240" w:lineRule="auto"/>
      </w:pPr>
    </w:p>
  </w:footnote>
  <w:footnote w:id="2">
    <w:p w14:paraId="74FC85F2" w14:textId="526B3BD4" w:rsidR="001B62FD" w:rsidRPr="007D23B7" w:rsidRDefault="001B62FD">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6F3DDE" w:rsidRPr="007D23B7">
        <w:rPr>
          <w:rFonts w:asciiTheme="majorHAnsi" w:hAnsiTheme="majorHAnsi" w:cstheme="majorHAnsi"/>
          <w:lang w:val="en-GB"/>
        </w:rPr>
        <w:t xml:space="preserve">IPHE (2021) </w:t>
      </w:r>
      <w:r w:rsidR="006F3DDE" w:rsidRPr="007D23B7">
        <w:rPr>
          <w:rFonts w:asciiTheme="majorHAnsi" w:hAnsiTheme="majorHAnsi" w:cstheme="majorHAnsi"/>
          <w:i/>
          <w:iCs/>
          <w:lang w:val="en-GB"/>
        </w:rPr>
        <w:t>Methodology for Determining the Greenhouse Gas Emissions Associated with the Production of Hydrogen</w:t>
      </w:r>
      <w:r w:rsidR="006F3DDE" w:rsidRPr="007D23B7">
        <w:rPr>
          <w:rFonts w:asciiTheme="majorHAnsi" w:hAnsiTheme="majorHAnsi" w:cstheme="majorHAnsi"/>
          <w:lang w:val="en-GB"/>
        </w:rPr>
        <w:t xml:space="preserve"> </w:t>
      </w:r>
      <w:hyperlink r:id="rId1" w:history="1">
        <w:r w:rsidR="006F3DDE" w:rsidRPr="007D23B7">
          <w:rPr>
            <w:rStyle w:val="Hyperlink"/>
            <w:rFonts w:asciiTheme="majorHAnsi" w:hAnsiTheme="majorHAnsi" w:cstheme="majorHAnsi"/>
            <w:lang w:val="en-GB"/>
          </w:rPr>
          <w:t>https://www.iphe.net/iphe-working-paper-methodology-doc-oct-2021</w:t>
        </w:r>
      </w:hyperlink>
      <w:r w:rsidRPr="007D23B7">
        <w:rPr>
          <w:rFonts w:asciiTheme="majorHAnsi" w:hAnsiTheme="majorHAnsi" w:cstheme="majorHAnsi"/>
          <w:lang w:val="en-GB"/>
        </w:rPr>
        <w:t xml:space="preserve"> </w:t>
      </w:r>
    </w:p>
  </w:footnote>
  <w:footnote w:id="3">
    <w:p w14:paraId="5F71D869" w14:textId="6B0CA3D4" w:rsidR="00F821F9" w:rsidRPr="007D23B7" w:rsidRDefault="00F821F9">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9E24A9" w:rsidRPr="007D23B7">
        <w:rPr>
          <w:rFonts w:asciiTheme="majorHAnsi" w:hAnsiTheme="majorHAnsi" w:cstheme="majorHAnsi"/>
          <w:lang w:val="en-GB"/>
        </w:rPr>
        <w:t xml:space="preserve">United Nations (2015) The 2030 Agenda for Sustainable Development. </w:t>
      </w:r>
      <w:hyperlink r:id="rId2" w:history="1">
        <w:r w:rsidR="009E24A9" w:rsidRPr="007D23B7">
          <w:rPr>
            <w:rStyle w:val="Hyperlink"/>
            <w:rFonts w:asciiTheme="majorHAnsi" w:hAnsiTheme="majorHAnsi" w:cstheme="majorHAnsi"/>
            <w:lang w:val="en-GB"/>
          </w:rPr>
          <w:t>https://sdgs.un.org/goals</w:t>
        </w:r>
      </w:hyperlink>
      <w:r w:rsidR="009E24A9" w:rsidRPr="007D23B7">
        <w:rPr>
          <w:rFonts w:asciiTheme="majorHAnsi" w:hAnsiTheme="majorHAnsi" w:cstheme="majorHAnsi"/>
          <w:lang w:val="en-GB"/>
        </w:rPr>
        <w:t xml:space="preserve"> </w:t>
      </w:r>
    </w:p>
  </w:footnote>
  <w:footnote w:id="4">
    <w:p w14:paraId="6016E6F7" w14:textId="77777777" w:rsidR="00AB0B3D" w:rsidRPr="007D23B7" w:rsidRDefault="009E01B8" w:rsidP="00AB0B3D">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AB0B3D" w:rsidRPr="007D23B7">
        <w:rPr>
          <w:rFonts w:asciiTheme="majorHAnsi" w:hAnsiTheme="majorHAnsi" w:cstheme="majorHAnsi"/>
          <w:lang w:val="en-GB"/>
        </w:rPr>
        <w:t>United Nations (2021) Department of Economic and Social Affairs. Sustainable Development.</w:t>
      </w:r>
    </w:p>
    <w:p w14:paraId="36F0474E" w14:textId="4ED4B050" w:rsidR="009E01B8" w:rsidRPr="007D23B7" w:rsidRDefault="00AB0B3D" w:rsidP="00AB0B3D">
      <w:pPr>
        <w:pStyle w:val="FootnoteText"/>
        <w:rPr>
          <w:rFonts w:asciiTheme="majorHAnsi" w:hAnsiTheme="majorHAnsi" w:cstheme="majorHAnsi"/>
          <w:lang w:val="en-GB"/>
        </w:rPr>
      </w:pPr>
      <w:r w:rsidRPr="007D23B7">
        <w:rPr>
          <w:rFonts w:asciiTheme="majorHAnsi" w:hAnsiTheme="majorHAnsi" w:cstheme="majorHAnsi"/>
          <w:lang w:val="en-GB"/>
        </w:rPr>
        <w:t xml:space="preserve"> </w:t>
      </w:r>
      <w:hyperlink r:id="rId3" w:history="1">
        <w:r w:rsidRPr="007D23B7">
          <w:rPr>
            <w:rStyle w:val="Hyperlink"/>
            <w:rFonts w:asciiTheme="majorHAnsi" w:hAnsiTheme="majorHAnsi" w:cstheme="majorHAnsi"/>
            <w:lang w:val="en-GB"/>
          </w:rPr>
          <w:t>https://sdgs.un.org/news/proposed-global-roadmap-shows-how-universal-access-sustainable -energy-can-be-achieved-2030</w:t>
        </w:r>
      </w:hyperlink>
      <w:r w:rsidRPr="007D23B7">
        <w:rPr>
          <w:rFonts w:asciiTheme="majorHAnsi" w:hAnsiTheme="majorHAnsi" w:cstheme="majorHAnsi"/>
          <w:lang w:val="en-GB"/>
        </w:rPr>
        <w:t xml:space="preserve"> </w:t>
      </w:r>
    </w:p>
  </w:footnote>
  <w:footnote w:id="5">
    <w:p w14:paraId="003A8AC6" w14:textId="66DBA5C1" w:rsidR="005D3E4F" w:rsidRPr="007D23B7" w:rsidRDefault="005D3E4F">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1F38B1">
        <w:rPr>
          <w:rFonts w:asciiTheme="majorHAnsi" w:hAnsiTheme="majorHAnsi" w:cstheme="majorHAnsi"/>
          <w:lang w:val="en-GB"/>
        </w:rPr>
        <w:t xml:space="preserve">It is important to emphasise that this is </w:t>
      </w:r>
      <w:r w:rsidR="001F38B1" w:rsidRPr="001F38B1">
        <w:rPr>
          <w:rFonts w:asciiTheme="majorHAnsi" w:hAnsiTheme="majorHAnsi" w:cstheme="majorHAnsi"/>
          <w:lang w:val="en-GB"/>
        </w:rPr>
        <w:t>not a waiver of requirements. The onus is on the project operator to demonstrate their adherence to GH2’s requirements</w:t>
      </w:r>
      <w:r w:rsidR="001F38B1">
        <w:rPr>
          <w:rFonts w:asciiTheme="majorHAnsi" w:hAnsiTheme="majorHAnsi" w:cstheme="majorHAnsi"/>
          <w:lang w:val="en-GB"/>
        </w:rPr>
        <w:t xml:space="preserve">. </w:t>
      </w:r>
      <w:r w:rsidRPr="007D23B7">
        <w:rPr>
          <w:rFonts w:asciiTheme="majorHAnsi" w:hAnsiTheme="majorHAnsi" w:cstheme="majorHAnsi"/>
          <w:lang w:val="en-GB"/>
        </w:rPr>
        <w:t xml:space="preserve">The credibility and comprehensiveness </w:t>
      </w:r>
      <w:r w:rsidR="00B10A43" w:rsidRPr="007D23B7">
        <w:rPr>
          <w:rFonts w:asciiTheme="majorHAnsi" w:hAnsiTheme="majorHAnsi" w:cstheme="majorHAnsi"/>
          <w:lang w:val="en-GB"/>
        </w:rPr>
        <w:t>of national requirements will be considered as part of the independent a</w:t>
      </w:r>
      <w:r w:rsidR="00F1100C" w:rsidRPr="007D23B7">
        <w:rPr>
          <w:rFonts w:asciiTheme="majorHAnsi" w:hAnsiTheme="majorHAnsi" w:cstheme="majorHAnsi"/>
          <w:lang w:val="en-GB"/>
        </w:rPr>
        <w:t xml:space="preserve">ppraisal process, </w:t>
      </w:r>
      <w:r w:rsidR="00E35AF5" w:rsidRPr="007D23B7">
        <w:rPr>
          <w:rFonts w:asciiTheme="majorHAnsi" w:hAnsiTheme="majorHAnsi" w:cstheme="majorHAnsi"/>
          <w:lang w:val="en-GB"/>
        </w:rPr>
        <w:t>including broad based consultation with project stakeholders.</w:t>
      </w:r>
      <w:r w:rsidR="001F38B1">
        <w:rPr>
          <w:rFonts w:asciiTheme="majorHAnsi" w:hAnsiTheme="majorHAnsi" w:cstheme="majorHAnsi"/>
          <w:lang w:val="en-GB"/>
        </w:rPr>
        <w:t xml:space="preserve"> </w:t>
      </w:r>
    </w:p>
  </w:footnote>
  <w:footnote w:id="6">
    <w:p w14:paraId="3A970D49" w14:textId="62AD63BD" w:rsidR="00F30AC0" w:rsidRPr="007D23B7" w:rsidRDefault="00F30AC0">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997F36">
        <w:rPr>
          <w:rFonts w:asciiTheme="majorHAnsi" w:hAnsiTheme="majorHAnsi" w:cstheme="majorHAnsi"/>
          <w:lang w:val="en-GB"/>
        </w:rPr>
        <w:t xml:space="preserve">IFC (2021) </w:t>
      </w:r>
      <w:r w:rsidR="00997F36" w:rsidRPr="00997F36">
        <w:rPr>
          <w:rFonts w:asciiTheme="majorHAnsi" w:hAnsiTheme="majorHAnsi" w:cstheme="majorHAnsi"/>
          <w:lang w:val="en-GB"/>
        </w:rPr>
        <w:t>Performance Standards</w:t>
      </w:r>
      <w:r w:rsidR="00997F36">
        <w:rPr>
          <w:rFonts w:asciiTheme="majorHAnsi" w:hAnsiTheme="majorHAnsi" w:cstheme="majorHAnsi"/>
          <w:lang w:val="en-GB"/>
        </w:rPr>
        <w:t xml:space="preserve">. </w:t>
      </w:r>
      <w:hyperlink r:id="rId4" w:history="1">
        <w:r w:rsidR="00997F36" w:rsidRPr="007D23B7">
          <w:rPr>
            <w:rStyle w:val="Hyperlink"/>
            <w:rFonts w:asciiTheme="majorHAnsi" w:hAnsiTheme="majorHAnsi" w:cstheme="majorHAnsi"/>
            <w:lang w:val="en-GB"/>
          </w:rPr>
          <w:t>https://www.ifc.org/wps/wcm/connect/Topics_Ext_Content/IFC_External_Corporate_Site/Sustainability-At-IFC/Policies-Standards/Performance-Standards</w:t>
        </w:r>
      </w:hyperlink>
      <w:r w:rsidRPr="007D23B7">
        <w:rPr>
          <w:rFonts w:asciiTheme="majorHAnsi" w:hAnsiTheme="majorHAnsi" w:cstheme="majorHAnsi"/>
          <w:lang w:val="en-GB"/>
        </w:rPr>
        <w:t xml:space="preserve"> </w:t>
      </w:r>
    </w:p>
  </w:footnote>
  <w:footnote w:id="7">
    <w:p w14:paraId="275898F4" w14:textId="77777777" w:rsidR="00B927D3" w:rsidRPr="006369D0" w:rsidRDefault="00B927D3" w:rsidP="00B927D3">
      <w:pPr>
        <w:pStyle w:val="FootnoteText"/>
        <w:rPr>
          <w:rFonts w:asciiTheme="majorHAnsi" w:hAnsiTheme="majorHAnsi" w:cstheme="majorHAnsi"/>
          <w:lang w:val="en-GB"/>
        </w:rPr>
      </w:pPr>
      <w:r w:rsidRPr="006369D0">
        <w:rPr>
          <w:rStyle w:val="FootnoteReference"/>
          <w:rFonts w:asciiTheme="majorHAnsi" w:hAnsiTheme="majorHAnsi" w:cstheme="majorHAnsi"/>
          <w:lang w:val="en-GB"/>
        </w:rPr>
        <w:footnoteRef/>
      </w:r>
      <w:r w:rsidRPr="006369D0">
        <w:rPr>
          <w:rFonts w:asciiTheme="majorHAnsi" w:hAnsiTheme="majorHAnsi" w:cstheme="majorHAnsi"/>
          <w:lang w:val="en-GB"/>
        </w:rPr>
        <w:t xml:space="preserve"> </w:t>
      </w:r>
      <w:r w:rsidRPr="00B927D3">
        <w:rPr>
          <w:rFonts w:asciiTheme="majorHAnsi" w:hAnsiTheme="majorHAnsi" w:cstheme="majorHAnsi"/>
          <w:lang w:val="en-GB"/>
        </w:rPr>
        <w:t>Hydropower Sustainability Council</w:t>
      </w:r>
      <w:r>
        <w:rPr>
          <w:rFonts w:asciiTheme="majorHAnsi" w:hAnsiTheme="majorHAnsi" w:cstheme="majorHAnsi"/>
          <w:lang w:val="en-GB"/>
        </w:rPr>
        <w:t xml:space="preserve"> (2021)</w:t>
      </w:r>
      <w:r w:rsidRPr="00B927D3">
        <w:rPr>
          <w:rFonts w:asciiTheme="majorHAnsi" w:hAnsiTheme="majorHAnsi" w:cstheme="majorHAnsi"/>
          <w:lang w:val="en-GB"/>
        </w:rPr>
        <w:t xml:space="preserve"> Hydropower Sustainability Standard </w:t>
      </w:r>
      <w:hyperlink r:id="rId5" w:history="1">
        <w:r w:rsidRPr="006369D0">
          <w:rPr>
            <w:rStyle w:val="Hyperlink"/>
            <w:rFonts w:asciiTheme="majorHAnsi" w:hAnsiTheme="majorHAnsi" w:cstheme="majorHAnsi"/>
            <w:lang w:val="en-GB"/>
          </w:rPr>
          <w:t>https://static1.squarespace.com/static/5c1978d3ee1759dc44fbd8ba/t/61379550f76c7d53f2b0f446/1631032662564/Hydropower+sustainabiity+standard+310821+01b.pdf</w:t>
        </w:r>
      </w:hyperlink>
      <w:r w:rsidRPr="006369D0">
        <w:rPr>
          <w:rFonts w:asciiTheme="majorHAnsi" w:hAnsiTheme="majorHAnsi" w:cstheme="majorHAnsi"/>
          <w:lang w:val="en-GB"/>
        </w:rPr>
        <w:t xml:space="preserve"> </w:t>
      </w:r>
    </w:p>
  </w:footnote>
  <w:footnote w:id="8">
    <w:p w14:paraId="72D5DC3E" w14:textId="058FB3F9" w:rsidR="00CA4475" w:rsidRPr="007D23B7" w:rsidRDefault="00CA4475">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IFC (2012) Performance Standard 1</w:t>
      </w:r>
      <w:r w:rsidR="00A415A3">
        <w:rPr>
          <w:rFonts w:asciiTheme="majorHAnsi" w:hAnsiTheme="majorHAnsi" w:cstheme="majorHAnsi"/>
          <w:lang w:val="en-GB"/>
        </w:rPr>
        <w:t xml:space="preserve">. </w:t>
      </w:r>
      <w:hyperlink r:id="rId6" w:history="1">
        <w:r w:rsidR="00681B49" w:rsidRPr="00493C66">
          <w:rPr>
            <w:rStyle w:val="Hyperlink"/>
            <w:rFonts w:asciiTheme="majorHAnsi" w:hAnsiTheme="majorHAnsi" w:cstheme="majorHAnsi"/>
            <w:lang w:val="en-GB"/>
          </w:rPr>
          <w:t>https://www.ifc.org/wps/wcm/connect/topics_ext_content/ifc_external_corporate_site/sustainability-at-ifc/policies-standards/performance-standards/ps1</w:t>
        </w:r>
      </w:hyperlink>
      <w:r w:rsidR="00681B49">
        <w:rPr>
          <w:rFonts w:asciiTheme="majorHAnsi" w:hAnsiTheme="majorHAnsi" w:cstheme="majorHAnsi"/>
          <w:lang w:val="en-GB"/>
        </w:rPr>
        <w:t xml:space="preserve"> </w:t>
      </w:r>
    </w:p>
  </w:footnote>
  <w:footnote w:id="9">
    <w:p w14:paraId="0676B130" w14:textId="55FC76A1" w:rsidR="004A5E58" w:rsidRPr="007D23B7" w:rsidRDefault="004A5E58" w:rsidP="00A84E13">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A84E13" w:rsidRPr="007D23B7">
        <w:rPr>
          <w:rFonts w:asciiTheme="majorHAnsi" w:hAnsiTheme="majorHAnsi" w:cstheme="majorHAnsi"/>
          <w:lang w:val="en-GB"/>
        </w:rPr>
        <w:t>IFC (2012) Performance Standard 5: Land Acquisition and Involuntary Resettlement</w:t>
      </w:r>
      <w:r w:rsidR="00505423">
        <w:rPr>
          <w:rFonts w:asciiTheme="majorHAnsi" w:hAnsiTheme="majorHAnsi" w:cstheme="majorHAnsi"/>
          <w:lang w:val="en-GB"/>
        </w:rPr>
        <w:t xml:space="preserve">. </w:t>
      </w:r>
      <w:hyperlink r:id="rId7" w:history="1">
        <w:r w:rsidR="002B178A" w:rsidRPr="00493C66">
          <w:rPr>
            <w:rStyle w:val="Hyperlink"/>
            <w:rFonts w:asciiTheme="majorHAnsi" w:hAnsiTheme="majorHAnsi" w:cstheme="majorHAnsi"/>
            <w:lang w:val="en-GB"/>
          </w:rPr>
          <w:t>https://www.ifc.org/wps/wcm/connect/topics_ext_content/ifc_external_corporate_site/sustainability-at-ifc/policies-standards/performance-standards/ps5</w:t>
        </w:r>
      </w:hyperlink>
      <w:r w:rsidR="002B178A">
        <w:rPr>
          <w:rFonts w:asciiTheme="majorHAnsi" w:hAnsiTheme="majorHAnsi" w:cstheme="majorHAnsi"/>
          <w:lang w:val="en-GB"/>
        </w:rPr>
        <w:t xml:space="preserve"> </w:t>
      </w:r>
    </w:p>
  </w:footnote>
  <w:footnote w:id="10">
    <w:p w14:paraId="21582DB3" w14:textId="2BC76676" w:rsidR="001459BA" w:rsidRPr="007D23B7" w:rsidRDefault="001459BA">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2B7DE8" w:rsidRPr="007D23B7">
        <w:rPr>
          <w:rFonts w:asciiTheme="majorHAnsi" w:hAnsiTheme="majorHAnsi" w:cstheme="majorHAnsi"/>
          <w:lang w:val="en-GB"/>
        </w:rPr>
        <w:t>IFC (2012) Performance Standard 7: Indigenous Peoples</w:t>
      </w:r>
      <w:r w:rsidR="00505423">
        <w:rPr>
          <w:rFonts w:asciiTheme="majorHAnsi" w:hAnsiTheme="majorHAnsi" w:cstheme="majorHAnsi"/>
          <w:lang w:val="en-GB"/>
        </w:rPr>
        <w:t xml:space="preserve">. </w:t>
      </w:r>
      <w:hyperlink r:id="rId8" w:history="1">
        <w:r w:rsidR="002B178A" w:rsidRPr="00493C66">
          <w:rPr>
            <w:rStyle w:val="Hyperlink"/>
            <w:rFonts w:asciiTheme="majorHAnsi" w:hAnsiTheme="majorHAnsi" w:cstheme="majorHAnsi"/>
            <w:lang w:val="en-GB"/>
          </w:rPr>
          <w:t>https://www.ifc.org/wps/wcm/connect/topics_ext_content/ifc_external_corporate_site/sustainability-at-ifc/policies-standards/performance-standards/ps7</w:t>
        </w:r>
      </w:hyperlink>
      <w:r w:rsidR="002B178A">
        <w:rPr>
          <w:rFonts w:asciiTheme="majorHAnsi" w:hAnsiTheme="majorHAnsi" w:cstheme="majorHAnsi"/>
          <w:lang w:val="en-GB"/>
        </w:rPr>
        <w:t xml:space="preserve"> </w:t>
      </w:r>
    </w:p>
  </w:footnote>
  <w:footnote w:id="11">
    <w:p w14:paraId="1428B3F3" w14:textId="2808DA94" w:rsidR="002D0981" w:rsidRPr="007D23B7" w:rsidRDefault="002D0981" w:rsidP="005A7556">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5A7556" w:rsidRPr="007D23B7">
        <w:rPr>
          <w:rFonts w:asciiTheme="majorHAnsi" w:hAnsiTheme="majorHAnsi" w:cstheme="majorHAnsi"/>
          <w:lang w:val="en-GB"/>
        </w:rPr>
        <w:t xml:space="preserve">IFC (2012) Performance Standard 2: </w:t>
      </w:r>
      <w:proofErr w:type="spellStart"/>
      <w:r w:rsidR="005A7556" w:rsidRPr="007D23B7">
        <w:rPr>
          <w:rFonts w:asciiTheme="majorHAnsi" w:hAnsiTheme="majorHAnsi" w:cstheme="majorHAnsi"/>
          <w:lang w:val="en-GB"/>
        </w:rPr>
        <w:t>Labor</w:t>
      </w:r>
      <w:proofErr w:type="spellEnd"/>
      <w:r w:rsidR="005A7556" w:rsidRPr="007D23B7">
        <w:rPr>
          <w:rFonts w:asciiTheme="majorHAnsi" w:hAnsiTheme="majorHAnsi" w:cstheme="majorHAnsi"/>
          <w:lang w:val="en-GB"/>
        </w:rPr>
        <w:t xml:space="preserve"> and Working Conditions</w:t>
      </w:r>
      <w:r w:rsidR="00B37916">
        <w:rPr>
          <w:rFonts w:asciiTheme="majorHAnsi" w:hAnsiTheme="majorHAnsi" w:cstheme="majorHAnsi"/>
          <w:lang w:val="en-GB"/>
        </w:rPr>
        <w:t xml:space="preserve">. </w:t>
      </w:r>
      <w:r w:rsidR="00B37916" w:rsidRPr="00B37916">
        <w:rPr>
          <w:rFonts w:asciiTheme="majorHAnsi" w:hAnsiTheme="majorHAnsi" w:cstheme="majorHAnsi"/>
          <w:lang w:val="en-GB"/>
        </w:rPr>
        <w:t>https://www.ifc.org/wps/wcm/connect/topics_ext_content/ifc_external_corporate_site/sustainability-at-ifc/policies-standards/performance-standards/ps2</w:t>
      </w:r>
    </w:p>
  </w:footnote>
  <w:footnote w:id="12">
    <w:p w14:paraId="3EE9F881" w14:textId="77777777" w:rsidR="007964F1" w:rsidRPr="007D23B7" w:rsidRDefault="007964F1" w:rsidP="007964F1">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IFC (2012) Performance Standard 1</w:t>
      </w:r>
    </w:p>
  </w:footnote>
  <w:footnote w:id="13">
    <w:p w14:paraId="35B32CA9" w14:textId="7ACF4FD6" w:rsidR="0048178E" w:rsidRPr="007D23B7" w:rsidRDefault="0048178E" w:rsidP="0048178E">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EF7B35">
        <w:rPr>
          <w:rFonts w:asciiTheme="majorHAnsi" w:hAnsiTheme="majorHAnsi" w:cstheme="majorHAnsi"/>
          <w:lang w:val="en-GB"/>
        </w:rPr>
        <w:t>TBC</w:t>
      </w:r>
    </w:p>
  </w:footnote>
  <w:footnote w:id="14">
    <w:p w14:paraId="779AEB95" w14:textId="5E484F52" w:rsidR="003C3639" w:rsidRPr="007D23B7" w:rsidRDefault="003C3639" w:rsidP="003C3639">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In accordance with IFC </w:t>
      </w:r>
      <w:r w:rsidR="0008071C" w:rsidRPr="007D23B7">
        <w:rPr>
          <w:rFonts w:asciiTheme="majorHAnsi" w:hAnsiTheme="majorHAnsi" w:cstheme="majorHAnsi"/>
          <w:lang w:val="en-GB"/>
        </w:rPr>
        <w:t xml:space="preserve">(2012) </w:t>
      </w:r>
      <w:hyperlink r:id="rId9" w:history="1">
        <w:r w:rsidRPr="007D23B7">
          <w:rPr>
            <w:rStyle w:val="Hyperlink"/>
            <w:rFonts w:asciiTheme="majorHAnsi" w:hAnsiTheme="majorHAnsi" w:cstheme="majorHAnsi"/>
            <w:i/>
            <w:iCs/>
            <w:lang w:val="en-GB"/>
          </w:rPr>
          <w:t>Performance Standard</w:t>
        </w:r>
        <w:r w:rsidR="007C05FC" w:rsidRPr="007D23B7">
          <w:rPr>
            <w:rStyle w:val="Hyperlink"/>
            <w:rFonts w:asciiTheme="majorHAnsi" w:hAnsiTheme="majorHAnsi" w:cstheme="majorHAnsi"/>
            <w:i/>
            <w:iCs/>
            <w:lang w:val="en-GB"/>
          </w:rPr>
          <w:t xml:space="preserve"> 3</w:t>
        </w:r>
        <w:r w:rsidR="0008071C" w:rsidRPr="007D23B7">
          <w:rPr>
            <w:rStyle w:val="Hyperlink"/>
            <w:rFonts w:asciiTheme="majorHAnsi" w:hAnsiTheme="majorHAnsi" w:cstheme="majorHAnsi"/>
            <w:lang w:val="en-GB"/>
          </w:rPr>
          <w:t>:</w:t>
        </w:r>
        <w:r w:rsidR="007C05FC" w:rsidRPr="007D23B7">
          <w:rPr>
            <w:rStyle w:val="Hyperlink"/>
            <w:rFonts w:asciiTheme="majorHAnsi" w:hAnsiTheme="majorHAnsi" w:cstheme="majorHAnsi"/>
            <w:lang w:val="en-GB"/>
          </w:rPr>
          <w:t xml:space="preserve"> </w:t>
        </w:r>
        <w:r w:rsidR="007C05FC" w:rsidRPr="007D23B7">
          <w:rPr>
            <w:rStyle w:val="Hyperlink"/>
            <w:rFonts w:asciiTheme="majorHAnsi" w:hAnsiTheme="majorHAnsi" w:cstheme="majorHAnsi"/>
            <w:i/>
            <w:iCs/>
            <w:lang w:val="en-GB"/>
          </w:rPr>
          <w:t>Resource Efficiency and Pollution Prevention</w:t>
        </w:r>
      </w:hyperlink>
      <w:r w:rsidRPr="007D23B7">
        <w:rPr>
          <w:rFonts w:asciiTheme="majorHAnsi" w:hAnsiTheme="majorHAnsi" w:cstheme="majorHAnsi"/>
          <w:lang w:val="en-GB"/>
        </w:rPr>
        <w:t xml:space="preserve">, </w:t>
      </w:r>
      <w:r w:rsidR="007C05FC" w:rsidRPr="007D23B7">
        <w:rPr>
          <w:rFonts w:asciiTheme="majorHAnsi" w:hAnsiTheme="majorHAnsi" w:cstheme="majorHAnsi"/>
          <w:lang w:val="en-GB"/>
        </w:rPr>
        <w:t>“</w:t>
      </w:r>
      <w:r w:rsidRPr="007D23B7">
        <w:rPr>
          <w:rFonts w:asciiTheme="majorHAnsi" w:hAnsiTheme="majorHAnsi" w:cstheme="majorHAnsi"/>
          <w:lang w:val="en-GB"/>
        </w:rPr>
        <w:t xml:space="preserve">the term </w:t>
      </w:r>
      <w:r w:rsidR="0008071C" w:rsidRPr="007D23B7">
        <w:rPr>
          <w:rFonts w:asciiTheme="majorHAnsi" w:hAnsiTheme="majorHAnsi" w:cstheme="majorHAnsi"/>
          <w:lang w:val="en-GB"/>
        </w:rPr>
        <w:t>‘</w:t>
      </w:r>
      <w:r w:rsidRPr="007D23B7">
        <w:rPr>
          <w:rFonts w:asciiTheme="majorHAnsi" w:hAnsiTheme="majorHAnsi" w:cstheme="majorHAnsi"/>
          <w:lang w:val="en-GB"/>
        </w:rPr>
        <w:t>pollution</w:t>
      </w:r>
      <w:r w:rsidR="0008071C" w:rsidRPr="007D23B7">
        <w:rPr>
          <w:rFonts w:asciiTheme="majorHAnsi" w:hAnsiTheme="majorHAnsi" w:cstheme="majorHAnsi"/>
          <w:lang w:val="en-GB"/>
        </w:rPr>
        <w:t>’</w:t>
      </w:r>
      <w:r w:rsidRPr="007D23B7">
        <w:rPr>
          <w:rFonts w:asciiTheme="majorHAnsi" w:hAnsiTheme="majorHAnsi" w:cstheme="majorHAnsi"/>
          <w:lang w:val="en-GB"/>
        </w:rPr>
        <w:t xml:space="preserve"> </w:t>
      </w:r>
      <w:r w:rsidR="0008071C" w:rsidRPr="007D23B7">
        <w:rPr>
          <w:rFonts w:asciiTheme="majorHAnsi" w:hAnsiTheme="majorHAnsi" w:cstheme="majorHAnsi"/>
          <w:lang w:val="en-GB"/>
        </w:rPr>
        <w:t>includes: “</w:t>
      </w:r>
      <w:r w:rsidRPr="007D23B7">
        <w:rPr>
          <w:rFonts w:asciiTheme="majorHAnsi" w:hAnsiTheme="majorHAnsi" w:cstheme="majorHAnsi"/>
          <w:lang w:val="en-GB"/>
        </w:rPr>
        <w:t>both hazardous and</w:t>
      </w:r>
      <w:r w:rsidR="007C05FC" w:rsidRPr="007D23B7">
        <w:rPr>
          <w:rFonts w:asciiTheme="majorHAnsi" w:hAnsiTheme="majorHAnsi" w:cstheme="majorHAnsi"/>
          <w:lang w:val="en-GB"/>
        </w:rPr>
        <w:t xml:space="preserve"> </w:t>
      </w:r>
      <w:r w:rsidRPr="007D23B7">
        <w:rPr>
          <w:rFonts w:asciiTheme="majorHAnsi" w:hAnsiTheme="majorHAnsi" w:cstheme="majorHAnsi"/>
          <w:lang w:val="en-GB"/>
        </w:rPr>
        <w:t>non-hazardous chemical pollutants in the solid, liquid, or gaseous phases, and includes other components such</w:t>
      </w:r>
      <w:r w:rsidR="007C05FC" w:rsidRPr="007D23B7">
        <w:rPr>
          <w:rFonts w:asciiTheme="majorHAnsi" w:hAnsiTheme="majorHAnsi" w:cstheme="majorHAnsi"/>
          <w:lang w:val="en-GB"/>
        </w:rPr>
        <w:t xml:space="preserve"> </w:t>
      </w:r>
      <w:r w:rsidRPr="007D23B7">
        <w:rPr>
          <w:rFonts w:asciiTheme="majorHAnsi" w:hAnsiTheme="majorHAnsi" w:cstheme="majorHAnsi"/>
          <w:lang w:val="en-GB"/>
        </w:rPr>
        <w:t xml:space="preserve">as pests, pathogens, thermal discharge to water, GHG emissions, nuisance </w:t>
      </w:r>
      <w:proofErr w:type="spellStart"/>
      <w:r w:rsidRPr="007D23B7">
        <w:rPr>
          <w:rFonts w:asciiTheme="majorHAnsi" w:hAnsiTheme="majorHAnsi" w:cstheme="majorHAnsi"/>
          <w:lang w:val="en-GB"/>
        </w:rPr>
        <w:t>odors</w:t>
      </w:r>
      <w:proofErr w:type="spellEnd"/>
      <w:r w:rsidRPr="007D23B7">
        <w:rPr>
          <w:rFonts w:asciiTheme="majorHAnsi" w:hAnsiTheme="majorHAnsi" w:cstheme="majorHAnsi"/>
          <w:lang w:val="en-GB"/>
        </w:rPr>
        <w:t>, noise, vibration, radiation,</w:t>
      </w:r>
      <w:r w:rsidR="007C05FC" w:rsidRPr="007D23B7">
        <w:rPr>
          <w:rFonts w:asciiTheme="majorHAnsi" w:hAnsiTheme="majorHAnsi" w:cstheme="majorHAnsi"/>
          <w:lang w:val="en-GB"/>
        </w:rPr>
        <w:t xml:space="preserve"> </w:t>
      </w:r>
      <w:r w:rsidRPr="007D23B7">
        <w:rPr>
          <w:rFonts w:asciiTheme="majorHAnsi" w:hAnsiTheme="majorHAnsi" w:cstheme="majorHAnsi"/>
          <w:lang w:val="en-GB"/>
        </w:rPr>
        <w:t>electromagnetic energy, and the creation of potential visual impacts including light</w:t>
      </w:r>
      <w:r w:rsidR="007C05FC" w:rsidRPr="007D23B7">
        <w:rPr>
          <w:rFonts w:asciiTheme="majorHAnsi" w:hAnsiTheme="majorHAnsi" w:cstheme="majorHAnsi"/>
          <w:lang w:val="en-GB"/>
        </w:rPr>
        <w:t>”.</w:t>
      </w:r>
    </w:p>
  </w:footnote>
  <w:footnote w:id="15">
    <w:p w14:paraId="38BF86ED" w14:textId="77777777" w:rsidR="004D19F1" w:rsidRPr="007D23B7" w:rsidRDefault="004D19F1" w:rsidP="004D19F1">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hyperlink r:id="rId10" w:history="1">
        <w:r w:rsidRPr="007D23B7">
          <w:rPr>
            <w:rStyle w:val="Hyperlink"/>
            <w:rFonts w:asciiTheme="majorHAnsi" w:hAnsiTheme="majorHAnsi" w:cstheme="majorHAnsi"/>
            <w:lang w:val="en-GB"/>
          </w:rPr>
          <w:t>https://www.iphe.net/iphe-working-paper-methodology-doc-oct-2021</w:t>
        </w:r>
      </w:hyperlink>
      <w:r w:rsidRPr="007D23B7">
        <w:rPr>
          <w:rFonts w:asciiTheme="majorHAnsi" w:hAnsiTheme="majorHAnsi" w:cstheme="majorHAnsi"/>
          <w:lang w:val="en-GB"/>
        </w:rPr>
        <w:t xml:space="preserve"> </w:t>
      </w:r>
    </w:p>
  </w:footnote>
  <w:footnote w:id="16">
    <w:p w14:paraId="63C07AB5" w14:textId="045B9841" w:rsidR="00D7002C" w:rsidRPr="007D23B7" w:rsidRDefault="00D7002C">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hyperlink r:id="rId11" w:history="1">
        <w:r w:rsidR="0048691C" w:rsidRPr="007D23B7">
          <w:rPr>
            <w:rStyle w:val="Hyperlink"/>
            <w:rFonts w:asciiTheme="majorHAnsi" w:hAnsiTheme="majorHAnsi" w:cstheme="majorHAnsi"/>
            <w:lang w:val="en-GB"/>
          </w:rPr>
          <w:t>https://gh2.org/about/our-principles</w:t>
        </w:r>
      </w:hyperlink>
      <w:r w:rsidR="0048691C" w:rsidRPr="007D23B7">
        <w:rPr>
          <w:rFonts w:asciiTheme="majorHAnsi" w:hAnsiTheme="majorHAnsi" w:cstheme="majorHAnsi"/>
          <w:lang w:val="en-GB"/>
        </w:rPr>
        <w:t xml:space="preserve"> </w:t>
      </w:r>
    </w:p>
  </w:footnote>
  <w:footnote w:id="17">
    <w:p w14:paraId="1B8D5AF1" w14:textId="77777777" w:rsidR="002B2CA6" w:rsidRPr="007D23B7" w:rsidRDefault="002B2CA6" w:rsidP="002B2CA6">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IPHE (2021) </w:t>
      </w:r>
      <w:r w:rsidRPr="007D23B7">
        <w:rPr>
          <w:rFonts w:asciiTheme="majorHAnsi" w:hAnsiTheme="majorHAnsi" w:cstheme="majorHAnsi"/>
          <w:i/>
          <w:iCs/>
          <w:lang w:val="en-GB"/>
        </w:rPr>
        <w:t>Methodology for Determining the Greenhouse Gas Emissions Associated with the Production of Hydrogen</w:t>
      </w:r>
      <w:r w:rsidRPr="007D23B7">
        <w:rPr>
          <w:rFonts w:asciiTheme="majorHAnsi" w:hAnsiTheme="majorHAnsi" w:cstheme="majorHAnsi"/>
          <w:lang w:val="en-GB"/>
        </w:rPr>
        <w:t xml:space="preserve"> </w:t>
      </w:r>
      <w:hyperlink r:id="rId12" w:history="1">
        <w:r w:rsidRPr="007D23B7">
          <w:rPr>
            <w:rStyle w:val="Hyperlink"/>
            <w:rFonts w:asciiTheme="majorHAnsi" w:hAnsiTheme="majorHAnsi" w:cstheme="majorHAnsi"/>
            <w:lang w:val="en-GB"/>
          </w:rPr>
          <w:t>https://www.iphe.net/iphe-working-paper-methodology-doc-oct-2021</w:t>
        </w:r>
      </w:hyperlink>
      <w:r w:rsidRPr="007D23B7">
        <w:rPr>
          <w:rFonts w:asciiTheme="majorHAnsi" w:hAnsiTheme="majorHAnsi" w:cstheme="majorHAnsi"/>
          <w:lang w:val="en-GB"/>
        </w:rPr>
        <w:t xml:space="preserve"> </w:t>
      </w:r>
    </w:p>
  </w:footnote>
  <w:footnote w:id="18">
    <w:p w14:paraId="58E071BB" w14:textId="77777777" w:rsidR="000E06FA" w:rsidRPr="007D23B7" w:rsidRDefault="008C1B74" w:rsidP="000E06FA">
      <w:pPr>
        <w:pStyle w:val="FootnoteText"/>
        <w:rPr>
          <w:rFonts w:asciiTheme="majorHAnsi" w:hAnsiTheme="majorHAnsi" w:cstheme="majorHAnsi"/>
          <w:lang w:val="en-GB"/>
        </w:rPr>
      </w:pPr>
      <w:r w:rsidRPr="007D23B7">
        <w:rPr>
          <w:rStyle w:val="FootnoteReference"/>
          <w:rFonts w:asciiTheme="majorHAnsi" w:hAnsiTheme="majorHAnsi" w:cstheme="majorHAnsi"/>
          <w:lang w:val="en-GB"/>
        </w:rPr>
        <w:footnoteRef/>
      </w:r>
      <w:r w:rsidRPr="007D23B7">
        <w:rPr>
          <w:rFonts w:asciiTheme="majorHAnsi" w:hAnsiTheme="majorHAnsi" w:cstheme="majorHAnsi"/>
          <w:lang w:val="en-GB"/>
        </w:rPr>
        <w:t xml:space="preserve"> </w:t>
      </w:r>
      <w:r w:rsidR="000E06FA" w:rsidRPr="007D23B7">
        <w:rPr>
          <w:rFonts w:asciiTheme="majorHAnsi" w:hAnsiTheme="majorHAnsi" w:cstheme="majorHAnsi"/>
          <w:lang w:val="en-GB"/>
        </w:rPr>
        <w:t>6 For technologies whose typical hydrogen output pressure at gate is 1 MPa or lower, one can also report in</w:t>
      </w:r>
    </w:p>
    <w:p w14:paraId="35780008" w14:textId="77777777" w:rsidR="000E06FA" w:rsidRPr="007D23B7" w:rsidRDefault="000E06FA" w:rsidP="000E06FA">
      <w:pPr>
        <w:pStyle w:val="FootnoteText"/>
        <w:rPr>
          <w:rFonts w:asciiTheme="majorHAnsi" w:hAnsiTheme="majorHAnsi" w:cstheme="majorHAnsi"/>
          <w:lang w:val="en-GB"/>
        </w:rPr>
      </w:pPr>
      <w:r w:rsidRPr="007D23B7">
        <w:rPr>
          <w:rFonts w:asciiTheme="majorHAnsi" w:hAnsiTheme="majorHAnsi" w:cstheme="majorHAnsi"/>
          <w:lang w:val="en-GB"/>
        </w:rPr>
        <w:t>addition to the 3 MPa, GHG emission at 1 MPa with the calculation result of GHG emission adjusted to 3 MPa</w:t>
      </w:r>
    </w:p>
    <w:p w14:paraId="51D761B6" w14:textId="57A5F85D" w:rsidR="008C1B74" w:rsidRPr="007D23B7" w:rsidRDefault="000E06FA" w:rsidP="000E06FA">
      <w:pPr>
        <w:pStyle w:val="FootnoteText"/>
        <w:rPr>
          <w:rFonts w:asciiTheme="majorHAnsi" w:hAnsiTheme="majorHAnsi" w:cstheme="majorHAnsi"/>
          <w:lang w:val="en-GB"/>
        </w:rPr>
      </w:pPr>
      <w:r w:rsidRPr="007D23B7">
        <w:rPr>
          <w:rFonts w:asciiTheme="majorHAnsi" w:hAnsiTheme="majorHAnsi" w:cstheme="majorHAnsi"/>
          <w:lang w:val="en-GB"/>
        </w:rPr>
        <w:t>which requires additional energy to increase the output pressure.</w:t>
      </w:r>
    </w:p>
  </w:footnote>
  <w:footnote w:id="19">
    <w:p w14:paraId="35E3A257" w14:textId="0CB2BB6A" w:rsidR="00006162" w:rsidRPr="007D23B7" w:rsidRDefault="00006162">
      <w:pPr>
        <w:pStyle w:val="FootnoteText"/>
        <w:rPr>
          <w:lang w:val="en-GB"/>
        </w:rPr>
      </w:pPr>
      <w:r w:rsidRPr="007D23B7">
        <w:rPr>
          <w:rStyle w:val="FootnoteReference"/>
          <w:lang w:val="en-GB"/>
        </w:rPr>
        <w:footnoteRef/>
      </w:r>
      <w:r w:rsidRPr="007D23B7">
        <w:rPr>
          <w:lang w:val="en-GB"/>
        </w:rPr>
        <w:t xml:space="preserve"> Where high temperature SOEC are utilised</w:t>
      </w:r>
    </w:p>
  </w:footnote>
  <w:footnote w:id="20">
    <w:p w14:paraId="5754992E" w14:textId="33E7946F" w:rsidR="00006162" w:rsidRPr="007D23B7" w:rsidRDefault="00006162">
      <w:pPr>
        <w:pStyle w:val="FootnoteText"/>
        <w:rPr>
          <w:lang w:val="en-GB"/>
        </w:rPr>
      </w:pPr>
      <w:r w:rsidRPr="007D23B7">
        <w:rPr>
          <w:rStyle w:val="FootnoteReference"/>
          <w:lang w:val="en-GB"/>
        </w:rPr>
        <w:footnoteRef/>
      </w:r>
      <w:r w:rsidRPr="007D23B7">
        <w:rPr>
          <w:lang w:val="en-GB"/>
        </w:rPr>
        <w:t xml:space="preserve"> Where high temperature SOEC are utili</w:t>
      </w:r>
      <w:r w:rsidR="000E36DB">
        <w:rPr>
          <w:lang w:val="en-GB"/>
        </w:rPr>
        <w:t>s</w:t>
      </w:r>
      <w:r w:rsidRPr="007D23B7">
        <w:rPr>
          <w:lang w:val="en-GB"/>
        </w:rPr>
        <w:t xml:space="preserve">ed. </w:t>
      </w:r>
    </w:p>
  </w:footnote>
  <w:footnote w:id="21">
    <w:p w14:paraId="1AEE702F" w14:textId="6B593981" w:rsidR="00E97EC1" w:rsidRPr="007D23B7" w:rsidRDefault="00E97EC1">
      <w:pPr>
        <w:pStyle w:val="FootnoteText"/>
        <w:rPr>
          <w:lang w:val="en-GB"/>
        </w:rPr>
      </w:pPr>
      <w:r w:rsidRPr="007D23B7">
        <w:rPr>
          <w:rStyle w:val="FootnoteReference"/>
          <w:lang w:val="en-GB"/>
        </w:rPr>
        <w:footnoteRef/>
      </w:r>
      <w:r w:rsidRPr="007D23B7">
        <w:rPr>
          <w:lang w:val="en-GB"/>
        </w:rPr>
        <w:t xml:space="preserve"> Where on-site electricity generation is non-renewable.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B619" w14:textId="77777777" w:rsidR="00A67E4D" w:rsidRPr="000F7485" w:rsidRDefault="003E718B">
    <w:pPr>
      <w:pStyle w:val="Header"/>
      <w:rPr>
        <w:rFonts w:ascii="Calibri Light" w:hAnsi="Calibri Light" w:cs="Calibri Light"/>
      </w:rPr>
    </w:pPr>
    <w:r w:rsidRPr="000F7485">
      <w:rPr>
        <w:rFonts w:ascii="Calibri Light" w:hAnsi="Calibri Light" w:cs="Calibri Light"/>
      </w:rPr>
      <w:t>The Green Hydrogen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B60"/>
    <w:multiLevelType w:val="hybridMultilevel"/>
    <w:tmpl w:val="E948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098E"/>
    <w:multiLevelType w:val="hybridMultilevel"/>
    <w:tmpl w:val="4A56297A"/>
    <w:lvl w:ilvl="0" w:tplc="47808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0E00"/>
    <w:multiLevelType w:val="hybridMultilevel"/>
    <w:tmpl w:val="C32ADCEE"/>
    <w:lvl w:ilvl="0" w:tplc="7B54ABB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3EE"/>
    <w:multiLevelType w:val="hybridMultilevel"/>
    <w:tmpl w:val="403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C2DC0"/>
    <w:multiLevelType w:val="hybridMultilevel"/>
    <w:tmpl w:val="21D4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92D10"/>
    <w:multiLevelType w:val="hybridMultilevel"/>
    <w:tmpl w:val="403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92FAA"/>
    <w:multiLevelType w:val="hybridMultilevel"/>
    <w:tmpl w:val="FE6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46119"/>
    <w:multiLevelType w:val="hybridMultilevel"/>
    <w:tmpl w:val="64126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013E59"/>
    <w:multiLevelType w:val="hybridMultilevel"/>
    <w:tmpl w:val="4A56297A"/>
    <w:lvl w:ilvl="0" w:tplc="47808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C655A"/>
    <w:multiLevelType w:val="hybridMultilevel"/>
    <w:tmpl w:val="F308179A"/>
    <w:lvl w:ilvl="0" w:tplc="EBEC75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46E27"/>
    <w:multiLevelType w:val="hybridMultilevel"/>
    <w:tmpl w:val="5E6C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96D13"/>
    <w:multiLevelType w:val="hybridMultilevel"/>
    <w:tmpl w:val="6412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53B39"/>
    <w:multiLevelType w:val="hybridMultilevel"/>
    <w:tmpl w:val="4A5629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7B22AF"/>
    <w:multiLevelType w:val="hybridMultilevel"/>
    <w:tmpl w:val="BA4C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D428B"/>
    <w:multiLevelType w:val="multilevel"/>
    <w:tmpl w:val="1B82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B2A74"/>
    <w:multiLevelType w:val="hybridMultilevel"/>
    <w:tmpl w:val="A774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064A9"/>
    <w:multiLevelType w:val="hybridMultilevel"/>
    <w:tmpl w:val="FDC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2"/>
  </w:num>
  <w:num w:numId="6">
    <w:abstractNumId w:val="1"/>
  </w:num>
  <w:num w:numId="7">
    <w:abstractNumId w:val="8"/>
  </w:num>
  <w:num w:numId="8">
    <w:abstractNumId w:val="11"/>
  </w:num>
  <w:num w:numId="9">
    <w:abstractNumId w:val="7"/>
  </w:num>
  <w:num w:numId="10">
    <w:abstractNumId w:val="10"/>
  </w:num>
  <w:num w:numId="11">
    <w:abstractNumId w:val="12"/>
  </w:num>
  <w:num w:numId="12">
    <w:abstractNumId w:val="15"/>
  </w:num>
  <w:num w:numId="13">
    <w:abstractNumId w:val="16"/>
  </w:num>
  <w:num w:numId="14">
    <w:abstractNumId w:val="14"/>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DA"/>
    <w:rsid w:val="0000439E"/>
    <w:rsid w:val="00005071"/>
    <w:rsid w:val="00005CEE"/>
    <w:rsid w:val="00006162"/>
    <w:rsid w:val="00007859"/>
    <w:rsid w:val="00010DC8"/>
    <w:rsid w:val="00011921"/>
    <w:rsid w:val="00012A12"/>
    <w:rsid w:val="00013F8E"/>
    <w:rsid w:val="00021781"/>
    <w:rsid w:val="0002208F"/>
    <w:rsid w:val="00023044"/>
    <w:rsid w:val="000233C0"/>
    <w:rsid w:val="0002399B"/>
    <w:rsid w:val="00027204"/>
    <w:rsid w:val="000274C1"/>
    <w:rsid w:val="00027ECA"/>
    <w:rsid w:val="00032F43"/>
    <w:rsid w:val="000339A1"/>
    <w:rsid w:val="00037F07"/>
    <w:rsid w:val="0004037D"/>
    <w:rsid w:val="000405AE"/>
    <w:rsid w:val="00043692"/>
    <w:rsid w:val="0004492B"/>
    <w:rsid w:val="00046225"/>
    <w:rsid w:val="00046869"/>
    <w:rsid w:val="000502D9"/>
    <w:rsid w:val="000512A5"/>
    <w:rsid w:val="0005208C"/>
    <w:rsid w:val="000542E9"/>
    <w:rsid w:val="00054B52"/>
    <w:rsid w:val="000553A9"/>
    <w:rsid w:val="00055600"/>
    <w:rsid w:val="00060F5C"/>
    <w:rsid w:val="00061880"/>
    <w:rsid w:val="0006215B"/>
    <w:rsid w:val="000636BA"/>
    <w:rsid w:val="00063B2C"/>
    <w:rsid w:val="00064562"/>
    <w:rsid w:val="00065326"/>
    <w:rsid w:val="00065A71"/>
    <w:rsid w:val="0006603F"/>
    <w:rsid w:val="00070BA9"/>
    <w:rsid w:val="000719F5"/>
    <w:rsid w:val="0007340B"/>
    <w:rsid w:val="0008071C"/>
    <w:rsid w:val="00080EEB"/>
    <w:rsid w:val="000820AC"/>
    <w:rsid w:val="0008249E"/>
    <w:rsid w:val="00083398"/>
    <w:rsid w:val="0009021F"/>
    <w:rsid w:val="00090DA7"/>
    <w:rsid w:val="000914ED"/>
    <w:rsid w:val="00092A74"/>
    <w:rsid w:val="0009370C"/>
    <w:rsid w:val="00093FD5"/>
    <w:rsid w:val="000957C8"/>
    <w:rsid w:val="000A0EFC"/>
    <w:rsid w:val="000A2885"/>
    <w:rsid w:val="000A5057"/>
    <w:rsid w:val="000A56CE"/>
    <w:rsid w:val="000A7075"/>
    <w:rsid w:val="000B055F"/>
    <w:rsid w:val="000B0833"/>
    <w:rsid w:val="000B0C4A"/>
    <w:rsid w:val="000B184E"/>
    <w:rsid w:val="000B354A"/>
    <w:rsid w:val="000B3A49"/>
    <w:rsid w:val="000B5A81"/>
    <w:rsid w:val="000B7121"/>
    <w:rsid w:val="000B75AE"/>
    <w:rsid w:val="000C08CC"/>
    <w:rsid w:val="000C28A3"/>
    <w:rsid w:val="000C2A4C"/>
    <w:rsid w:val="000C3A1D"/>
    <w:rsid w:val="000C512A"/>
    <w:rsid w:val="000C56D1"/>
    <w:rsid w:val="000C74D9"/>
    <w:rsid w:val="000D0528"/>
    <w:rsid w:val="000D13D7"/>
    <w:rsid w:val="000D3522"/>
    <w:rsid w:val="000E06FA"/>
    <w:rsid w:val="000E23B0"/>
    <w:rsid w:val="000E36DB"/>
    <w:rsid w:val="000E59CA"/>
    <w:rsid w:val="000E6F30"/>
    <w:rsid w:val="000E75C3"/>
    <w:rsid w:val="000F187C"/>
    <w:rsid w:val="000F197F"/>
    <w:rsid w:val="000F2A07"/>
    <w:rsid w:val="000F2E99"/>
    <w:rsid w:val="000F3916"/>
    <w:rsid w:val="000F3E84"/>
    <w:rsid w:val="000F40DF"/>
    <w:rsid w:val="000F617F"/>
    <w:rsid w:val="000F7485"/>
    <w:rsid w:val="0010038B"/>
    <w:rsid w:val="00100BD3"/>
    <w:rsid w:val="0010678E"/>
    <w:rsid w:val="00107E43"/>
    <w:rsid w:val="00110D07"/>
    <w:rsid w:val="00111239"/>
    <w:rsid w:val="001130C9"/>
    <w:rsid w:val="0011353A"/>
    <w:rsid w:val="00114CA2"/>
    <w:rsid w:val="00115A5F"/>
    <w:rsid w:val="00115EAE"/>
    <w:rsid w:val="00116774"/>
    <w:rsid w:val="001170BC"/>
    <w:rsid w:val="00117F0C"/>
    <w:rsid w:val="00120A12"/>
    <w:rsid w:val="00121382"/>
    <w:rsid w:val="00125A9C"/>
    <w:rsid w:val="001267AB"/>
    <w:rsid w:val="00127395"/>
    <w:rsid w:val="00127B23"/>
    <w:rsid w:val="00127BCA"/>
    <w:rsid w:val="00130C1C"/>
    <w:rsid w:val="001322CA"/>
    <w:rsid w:val="00135E8C"/>
    <w:rsid w:val="001360C2"/>
    <w:rsid w:val="001366A6"/>
    <w:rsid w:val="00136DE4"/>
    <w:rsid w:val="001402DC"/>
    <w:rsid w:val="00141D33"/>
    <w:rsid w:val="00142CDA"/>
    <w:rsid w:val="00144EC4"/>
    <w:rsid w:val="001459BA"/>
    <w:rsid w:val="00150478"/>
    <w:rsid w:val="00151BAF"/>
    <w:rsid w:val="0015277B"/>
    <w:rsid w:val="0015286D"/>
    <w:rsid w:val="00153E50"/>
    <w:rsid w:val="0015400B"/>
    <w:rsid w:val="00156617"/>
    <w:rsid w:val="0016115D"/>
    <w:rsid w:val="001713A5"/>
    <w:rsid w:val="00173785"/>
    <w:rsid w:val="001749BC"/>
    <w:rsid w:val="0017512E"/>
    <w:rsid w:val="00176A84"/>
    <w:rsid w:val="00177D54"/>
    <w:rsid w:val="001840A5"/>
    <w:rsid w:val="00184305"/>
    <w:rsid w:val="001860CD"/>
    <w:rsid w:val="001870A2"/>
    <w:rsid w:val="00187328"/>
    <w:rsid w:val="00187824"/>
    <w:rsid w:val="00190CB3"/>
    <w:rsid w:val="001932FA"/>
    <w:rsid w:val="001942F7"/>
    <w:rsid w:val="001946CA"/>
    <w:rsid w:val="00194D26"/>
    <w:rsid w:val="00197016"/>
    <w:rsid w:val="00197263"/>
    <w:rsid w:val="001A1665"/>
    <w:rsid w:val="001A39D7"/>
    <w:rsid w:val="001A3B97"/>
    <w:rsid w:val="001A3F07"/>
    <w:rsid w:val="001A3F9A"/>
    <w:rsid w:val="001A62D4"/>
    <w:rsid w:val="001A6B26"/>
    <w:rsid w:val="001A6B80"/>
    <w:rsid w:val="001A7133"/>
    <w:rsid w:val="001B2EDA"/>
    <w:rsid w:val="001B2F29"/>
    <w:rsid w:val="001B3FEF"/>
    <w:rsid w:val="001B5773"/>
    <w:rsid w:val="001B60BE"/>
    <w:rsid w:val="001B62FD"/>
    <w:rsid w:val="001C3D7C"/>
    <w:rsid w:val="001C68A5"/>
    <w:rsid w:val="001C6AC0"/>
    <w:rsid w:val="001C7904"/>
    <w:rsid w:val="001C79A3"/>
    <w:rsid w:val="001C7F60"/>
    <w:rsid w:val="001D0308"/>
    <w:rsid w:val="001D0E30"/>
    <w:rsid w:val="001D1D3A"/>
    <w:rsid w:val="001D2489"/>
    <w:rsid w:val="001D2744"/>
    <w:rsid w:val="001D28B9"/>
    <w:rsid w:val="001D327C"/>
    <w:rsid w:val="001D3921"/>
    <w:rsid w:val="001D4255"/>
    <w:rsid w:val="001D430D"/>
    <w:rsid w:val="001D491F"/>
    <w:rsid w:val="001D6258"/>
    <w:rsid w:val="001D69B2"/>
    <w:rsid w:val="001D6B62"/>
    <w:rsid w:val="001E14EA"/>
    <w:rsid w:val="001E15D5"/>
    <w:rsid w:val="001E1B40"/>
    <w:rsid w:val="001E69CD"/>
    <w:rsid w:val="001F1E6C"/>
    <w:rsid w:val="001F38B1"/>
    <w:rsid w:val="001F40B8"/>
    <w:rsid w:val="001F522C"/>
    <w:rsid w:val="001F5B9F"/>
    <w:rsid w:val="00200F30"/>
    <w:rsid w:val="0020306E"/>
    <w:rsid w:val="002063A7"/>
    <w:rsid w:val="00206CAA"/>
    <w:rsid w:val="00210771"/>
    <w:rsid w:val="0021601D"/>
    <w:rsid w:val="00217566"/>
    <w:rsid w:val="00221AD6"/>
    <w:rsid w:val="002245A9"/>
    <w:rsid w:val="00225BC6"/>
    <w:rsid w:val="0022771A"/>
    <w:rsid w:val="002306E8"/>
    <w:rsid w:val="00230707"/>
    <w:rsid w:val="00232B06"/>
    <w:rsid w:val="00233A71"/>
    <w:rsid w:val="0024014D"/>
    <w:rsid w:val="00240456"/>
    <w:rsid w:val="0024465B"/>
    <w:rsid w:val="00246CF0"/>
    <w:rsid w:val="00246F87"/>
    <w:rsid w:val="00250394"/>
    <w:rsid w:val="00250AB1"/>
    <w:rsid w:val="00253151"/>
    <w:rsid w:val="00254686"/>
    <w:rsid w:val="0026035A"/>
    <w:rsid w:val="00261FF2"/>
    <w:rsid w:val="00262890"/>
    <w:rsid w:val="00262C79"/>
    <w:rsid w:val="00264339"/>
    <w:rsid w:val="00266513"/>
    <w:rsid w:val="0027272F"/>
    <w:rsid w:val="00273F5B"/>
    <w:rsid w:val="002745F8"/>
    <w:rsid w:val="0028088E"/>
    <w:rsid w:val="00283D9B"/>
    <w:rsid w:val="00283F5E"/>
    <w:rsid w:val="002850C5"/>
    <w:rsid w:val="0028531B"/>
    <w:rsid w:val="002946CC"/>
    <w:rsid w:val="00295062"/>
    <w:rsid w:val="002965CD"/>
    <w:rsid w:val="002A074D"/>
    <w:rsid w:val="002A27C9"/>
    <w:rsid w:val="002A4470"/>
    <w:rsid w:val="002A54E9"/>
    <w:rsid w:val="002A6A5C"/>
    <w:rsid w:val="002B02E5"/>
    <w:rsid w:val="002B0F58"/>
    <w:rsid w:val="002B178A"/>
    <w:rsid w:val="002B2CA6"/>
    <w:rsid w:val="002B6464"/>
    <w:rsid w:val="002B744E"/>
    <w:rsid w:val="002B7758"/>
    <w:rsid w:val="002B7DE8"/>
    <w:rsid w:val="002C01C8"/>
    <w:rsid w:val="002C1696"/>
    <w:rsid w:val="002C6BF4"/>
    <w:rsid w:val="002C73D0"/>
    <w:rsid w:val="002C77A2"/>
    <w:rsid w:val="002D0981"/>
    <w:rsid w:val="002D4E72"/>
    <w:rsid w:val="002D5626"/>
    <w:rsid w:val="002D7268"/>
    <w:rsid w:val="002D78F9"/>
    <w:rsid w:val="002D7E19"/>
    <w:rsid w:val="002E2F11"/>
    <w:rsid w:val="002E3E41"/>
    <w:rsid w:val="002E4A2D"/>
    <w:rsid w:val="002E56DD"/>
    <w:rsid w:val="002E648C"/>
    <w:rsid w:val="002E6DBD"/>
    <w:rsid w:val="002F0477"/>
    <w:rsid w:val="002F0E02"/>
    <w:rsid w:val="002F1219"/>
    <w:rsid w:val="002F18F9"/>
    <w:rsid w:val="002F2334"/>
    <w:rsid w:val="002F6AB0"/>
    <w:rsid w:val="00305E54"/>
    <w:rsid w:val="003067B2"/>
    <w:rsid w:val="003067F7"/>
    <w:rsid w:val="00306E26"/>
    <w:rsid w:val="00306F85"/>
    <w:rsid w:val="00307FC3"/>
    <w:rsid w:val="00310950"/>
    <w:rsid w:val="00313025"/>
    <w:rsid w:val="003150D6"/>
    <w:rsid w:val="00315B89"/>
    <w:rsid w:val="0031729E"/>
    <w:rsid w:val="00320285"/>
    <w:rsid w:val="003207B8"/>
    <w:rsid w:val="00320B0A"/>
    <w:rsid w:val="00321F53"/>
    <w:rsid w:val="00322303"/>
    <w:rsid w:val="00322582"/>
    <w:rsid w:val="00326E2D"/>
    <w:rsid w:val="00327A87"/>
    <w:rsid w:val="003305D1"/>
    <w:rsid w:val="00331773"/>
    <w:rsid w:val="003320A1"/>
    <w:rsid w:val="003321D5"/>
    <w:rsid w:val="00333B6F"/>
    <w:rsid w:val="003375A7"/>
    <w:rsid w:val="003402CA"/>
    <w:rsid w:val="00343902"/>
    <w:rsid w:val="0034516A"/>
    <w:rsid w:val="00345CAB"/>
    <w:rsid w:val="003465C2"/>
    <w:rsid w:val="00346A4B"/>
    <w:rsid w:val="003470D2"/>
    <w:rsid w:val="00351473"/>
    <w:rsid w:val="00351528"/>
    <w:rsid w:val="003527BA"/>
    <w:rsid w:val="00354BB7"/>
    <w:rsid w:val="00360070"/>
    <w:rsid w:val="003618B6"/>
    <w:rsid w:val="00362382"/>
    <w:rsid w:val="00365100"/>
    <w:rsid w:val="00366C16"/>
    <w:rsid w:val="0036742E"/>
    <w:rsid w:val="00372819"/>
    <w:rsid w:val="003806DF"/>
    <w:rsid w:val="00380AA6"/>
    <w:rsid w:val="00380D84"/>
    <w:rsid w:val="00380DEA"/>
    <w:rsid w:val="00383E59"/>
    <w:rsid w:val="003905BF"/>
    <w:rsid w:val="00391406"/>
    <w:rsid w:val="00393183"/>
    <w:rsid w:val="00393C9A"/>
    <w:rsid w:val="00394472"/>
    <w:rsid w:val="00394AAB"/>
    <w:rsid w:val="003950B5"/>
    <w:rsid w:val="0039553D"/>
    <w:rsid w:val="00395AAA"/>
    <w:rsid w:val="00396FAA"/>
    <w:rsid w:val="00397770"/>
    <w:rsid w:val="003A0299"/>
    <w:rsid w:val="003A34B5"/>
    <w:rsid w:val="003A3803"/>
    <w:rsid w:val="003A3A90"/>
    <w:rsid w:val="003A72EF"/>
    <w:rsid w:val="003B02FB"/>
    <w:rsid w:val="003B0D38"/>
    <w:rsid w:val="003B2A3E"/>
    <w:rsid w:val="003B2F9E"/>
    <w:rsid w:val="003B3F11"/>
    <w:rsid w:val="003B4066"/>
    <w:rsid w:val="003B4C3A"/>
    <w:rsid w:val="003B5ECA"/>
    <w:rsid w:val="003B6BBD"/>
    <w:rsid w:val="003B710A"/>
    <w:rsid w:val="003B7E65"/>
    <w:rsid w:val="003C15F7"/>
    <w:rsid w:val="003C3639"/>
    <w:rsid w:val="003C46A9"/>
    <w:rsid w:val="003C5E8A"/>
    <w:rsid w:val="003C7068"/>
    <w:rsid w:val="003D0DD6"/>
    <w:rsid w:val="003D2B3D"/>
    <w:rsid w:val="003D33EB"/>
    <w:rsid w:val="003D691C"/>
    <w:rsid w:val="003E1192"/>
    <w:rsid w:val="003E718B"/>
    <w:rsid w:val="003F07C5"/>
    <w:rsid w:val="003F2F0D"/>
    <w:rsid w:val="003F475E"/>
    <w:rsid w:val="003F4D84"/>
    <w:rsid w:val="003F650F"/>
    <w:rsid w:val="00400D28"/>
    <w:rsid w:val="00401DDA"/>
    <w:rsid w:val="004022B5"/>
    <w:rsid w:val="00402342"/>
    <w:rsid w:val="004027E0"/>
    <w:rsid w:val="004036B4"/>
    <w:rsid w:val="0040553A"/>
    <w:rsid w:val="00412B19"/>
    <w:rsid w:val="00413781"/>
    <w:rsid w:val="00414298"/>
    <w:rsid w:val="00414E24"/>
    <w:rsid w:val="0041573C"/>
    <w:rsid w:val="004179A2"/>
    <w:rsid w:val="00421391"/>
    <w:rsid w:val="00424062"/>
    <w:rsid w:val="00426209"/>
    <w:rsid w:val="00426925"/>
    <w:rsid w:val="00431125"/>
    <w:rsid w:val="004313F2"/>
    <w:rsid w:val="004365E4"/>
    <w:rsid w:val="00436BA9"/>
    <w:rsid w:val="004379ED"/>
    <w:rsid w:val="00440AF6"/>
    <w:rsid w:val="00444ADA"/>
    <w:rsid w:val="00446392"/>
    <w:rsid w:val="00447F06"/>
    <w:rsid w:val="00450782"/>
    <w:rsid w:val="00454FE3"/>
    <w:rsid w:val="004640A7"/>
    <w:rsid w:val="00464EB5"/>
    <w:rsid w:val="00465E3B"/>
    <w:rsid w:val="004660B8"/>
    <w:rsid w:val="004717D1"/>
    <w:rsid w:val="004734BA"/>
    <w:rsid w:val="004754A6"/>
    <w:rsid w:val="004771EE"/>
    <w:rsid w:val="0048178E"/>
    <w:rsid w:val="00482361"/>
    <w:rsid w:val="004840E8"/>
    <w:rsid w:val="00484C7F"/>
    <w:rsid w:val="004854CF"/>
    <w:rsid w:val="00485BD8"/>
    <w:rsid w:val="0048691C"/>
    <w:rsid w:val="00486EEE"/>
    <w:rsid w:val="004A0113"/>
    <w:rsid w:val="004A1ABC"/>
    <w:rsid w:val="004A1B7F"/>
    <w:rsid w:val="004A2017"/>
    <w:rsid w:val="004A2CC0"/>
    <w:rsid w:val="004A51F1"/>
    <w:rsid w:val="004A5E58"/>
    <w:rsid w:val="004A789D"/>
    <w:rsid w:val="004B031C"/>
    <w:rsid w:val="004B21BA"/>
    <w:rsid w:val="004B5887"/>
    <w:rsid w:val="004B6D11"/>
    <w:rsid w:val="004B7E2D"/>
    <w:rsid w:val="004C6DAF"/>
    <w:rsid w:val="004D07EB"/>
    <w:rsid w:val="004D11E4"/>
    <w:rsid w:val="004D14E5"/>
    <w:rsid w:val="004D19F1"/>
    <w:rsid w:val="004D224B"/>
    <w:rsid w:val="004D30B3"/>
    <w:rsid w:val="004D491E"/>
    <w:rsid w:val="004D68D4"/>
    <w:rsid w:val="004D6C00"/>
    <w:rsid w:val="004E2824"/>
    <w:rsid w:val="004E4A31"/>
    <w:rsid w:val="004E5B4C"/>
    <w:rsid w:val="004E5F79"/>
    <w:rsid w:val="004E76B3"/>
    <w:rsid w:val="004F0883"/>
    <w:rsid w:val="004F30C4"/>
    <w:rsid w:val="004F42D9"/>
    <w:rsid w:val="004F54D1"/>
    <w:rsid w:val="004F6951"/>
    <w:rsid w:val="004F7A94"/>
    <w:rsid w:val="004F7DD6"/>
    <w:rsid w:val="004F7E37"/>
    <w:rsid w:val="00500A4A"/>
    <w:rsid w:val="00501903"/>
    <w:rsid w:val="00503B53"/>
    <w:rsid w:val="00504413"/>
    <w:rsid w:val="005046EB"/>
    <w:rsid w:val="005050A8"/>
    <w:rsid w:val="00505423"/>
    <w:rsid w:val="0051261D"/>
    <w:rsid w:val="00512EF1"/>
    <w:rsid w:val="005145C6"/>
    <w:rsid w:val="00514FC6"/>
    <w:rsid w:val="00515584"/>
    <w:rsid w:val="00516DBC"/>
    <w:rsid w:val="00516E76"/>
    <w:rsid w:val="00517A16"/>
    <w:rsid w:val="00521406"/>
    <w:rsid w:val="00522580"/>
    <w:rsid w:val="00523020"/>
    <w:rsid w:val="005236DC"/>
    <w:rsid w:val="0052458E"/>
    <w:rsid w:val="005318CB"/>
    <w:rsid w:val="005325B0"/>
    <w:rsid w:val="00532D57"/>
    <w:rsid w:val="005348B0"/>
    <w:rsid w:val="00535762"/>
    <w:rsid w:val="00545DF7"/>
    <w:rsid w:val="0054618A"/>
    <w:rsid w:val="00547651"/>
    <w:rsid w:val="00547CE5"/>
    <w:rsid w:val="00547E8B"/>
    <w:rsid w:val="00552F16"/>
    <w:rsid w:val="0055300B"/>
    <w:rsid w:val="00554FDC"/>
    <w:rsid w:val="005551A0"/>
    <w:rsid w:val="00556C2C"/>
    <w:rsid w:val="00556F12"/>
    <w:rsid w:val="005571AE"/>
    <w:rsid w:val="00560AD1"/>
    <w:rsid w:val="00561D0F"/>
    <w:rsid w:val="005623E6"/>
    <w:rsid w:val="00563888"/>
    <w:rsid w:val="0056651B"/>
    <w:rsid w:val="00567E95"/>
    <w:rsid w:val="0057075C"/>
    <w:rsid w:val="00570E26"/>
    <w:rsid w:val="00576A00"/>
    <w:rsid w:val="00577B1A"/>
    <w:rsid w:val="00577DD2"/>
    <w:rsid w:val="00580AB9"/>
    <w:rsid w:val="00581414"/>
    <w:rsid w:val="00581B2E"/>
    <w:rsid w:val="0058329D"/>
    <w:rsid w:val="00585CF0"/>
    <w:rsid w:val="005920B6"/>
    <w:rsid w:val="005938E2"/>
    <w:rsid w:val="00594830"/>
    <w:rsid w:val="0059502F"/>
    <w:rsid w:val="00596921"/>
    <w:rsid w:val="005A0D8B"/>
    <w:rsid w:val="005A2293"/>
    <w:rsid w:val="005A372E"/>
    <w:rsid w:val="005A3950"/>
    <w:rsid w:val="005A4E84"/>
    <w:rsid w:val="005A67CE"/>
    <w:rsid w:val="005A7556"/>
    <w:rsid w:val="005B1A10"/>
    <w:rsid w:val="005B23CE"/>
    <w:rsid w:val="005B3817"/>
    <w:rsid w:val="005B3B4D"/>
    <w:rsid w:val="005B464D"/>
    <w:rsid w:val="005B54EE"/>
    <w:rsid w:val="005B558E"/>
    <w:rsid w:val="005B64CD"/>
    <w:rsid w:val="005C1D7F"/>
    <w:rsid w:val="005C34DE"/>
    <w:rsid w:val="005C4167"/>
    <w:rsid w:val="005D3E4F"/>
    <w:rsid w:val="005D6D2C"/>
    <w:rsid w:val="005D79FF"/>
    <w:rsid w:val="005D7AE3"/>
    <w:rsid w:val="005E286F"/>
    <w:rsid w:val="005E507A"/>
    <w:rsid w:val="005E5F86"/>
    <w:rsid w:val="005E6C46"/>
    <w:rsid w:val="005F079B"/>
    <w:rsid w:val="005F09E2"/>
    <w:rsid w:val="005F42DD"/>
    <w:rsid w:val="005F5F77"/>
    <w:rsid w:val="005F664C"/>
    <w:rsid w:val="00601956"/>
    <w:rsid w:val="00605056"/>
    <w:rsid w:val="00605C50"/>
    <w:rsid w:val="006117E7"/>
    <w:rsid w:val="00611A4A"/>
    <w:rsid w:val="0061318A"/>
    <w:rsid w:val="00613D40"/>
    <w:rsid w:val="00615136"/>
    <w:rsid w:val="00615EC8"/>
    <w:rsid w:val="00617744"/>
    <w:rsid w:val="006179E4"/>
    <w:rsid w:val="006220D3"/>
    <w:rsid w:val="00624171"/>
    <w:rsid w:val="00625A0A"/>
    <w:rsid w:val="0062619B"/>
    <w:rsid w:val="00630B68"/>
    <w:rsid w:val="0063193A"/>
    <w:rsid w:val="00634EC3"/>
    <w:rsid w:val="0063695B"/>
    <w:rsid w:val="00636B17"/>
    <w:rsid w:val="00637865"/>
    <w:rsid w:val="00640F5E"/>
    <w:rsid w:val="006416DF"/>
    <w:rsid w:val="006418A1"/>
    <w:rsid w:val="00641CBE"/>
    <w:rsid w:val="00643CAA"/>
    <w:rsid w:val="00644AE6"/>
    <w:rsid w:val="00647B83"/>
    <w:rsid w:val="00651829"/>
    <w:rsid w:val="0065251B"/>
    <w:rsid w:val="006533ED"/>
    <w:rsid w:val="00653FAA"/>
    <w:rsid w:val="006565B1"/>
    <w:rsid w:val="0065673B"/>
    <w:rsid w:val="00660DC0"/>
    <w:rsid w:val="0066107E"/>
    <w:rsid w:val="006620A1"/>
    <w:rsid w:val="0066288F"/>
    <w:rsid w:val="006632C9"/>
    <w:rsid w:val="00665536"/>
    <w:rsid w:val="00671F3F"/>
    <w:rsid w:val="00673340"/>
    <w:rsid w:val="0067376F"/>
    <w:rsid w:val="00673BBD"/>
    <w:rsid w:val="006740B7"/>
    <w:rsid w:val="006755BB"/>
    <w:rsid w:val="006755C6"/>
    <w:rsid w:val="00676E84"/>
    <w:rsid w:val="00677BD0"/>
    <w:rsid w:val="00681B49"/>
    <w:rsid w:val="00683969"/>
    <w:rsid w:val="00686D6F"/>
    <w:rsid w:val="00691F09"/>
    <w:rsid w:val="006938E5"/>
    <w:rsid w:val="0069485B"/>
    <w:rsid w:val="00694EB1"/>
    <w:rsid w:val="00696225"/>
    <w:rsid w:val="00697A62"/>
    <w:rsid w:val="006A042D"/>
    <w:rsid w:val="006A1F85"/>
    <w:rsid w:val="006A42EC"/>
    <w:rsid w:val="006A48EB"/>
    <w:rsid w:val="006A62DA"/>
    <w:rsid w:val="006A7970"/>
    <w:rsid w:val="006B421C"/>
    <w:rsid w:val="006B509C"/>
    <w:rsid w:val="006C0C3A"/>
    <w:rsid w:val="006C2C4A"/>
    <w:rsid w:val="006C5C37"/>
    <w:rsid w:val="006C7DAA"/>
    <w:rsid w:val="006C7E47"/>
    <w:rsid w:val="006D390D"/>
    <w:rsid w:val="006D4839"/>
    <w:rsid w:val="006D53AD"/>
    <w:rsid w:val="006D7CEA"/>
    <w:rsid w:val="006E0B1A"/>
    <w:rsid w:val="006E1E91"/>
    <w:rsid w:val="006E3CE7"/>
    <w:rsid w:val="006E3FE0"/>
    <w:rsid w:val="006E414D"/>
    <w:rsid w:val="006E7122"/>
    <w:rsid w:val="006F0E2D"/>
    <w:rsid w:val="006F18D7"/>
    <w:rsid w:val="006F1BF7"/>
    <w:rsid w:val="006F2579"/>
    <w:rsid w:val="006F29ED"/>
    <w:rsid w:val="006F3DDE"/>
    <w:rsid w:val="006F4B05"/>
    <w:rsid w:val="006F7A8E"/>
    <w:rsid w:val="007031B7"/>
    <w:rsid w:val="00704A6C"/>
    <w:rsid w:val="00705DE0"/>
    <w:rsid w:val="007103CB"/>
    <w:rsid w:val="00715B74"/>
    <w:rsid w:val="007165F4"/>
    <w:rsid w:val="00716F30"/>
    <w:rsid w:val="0071769F"/>
    <w:rsid w:val="00720B64"/>
    <w:rsid w:val="00721614"/>
    <w:rsid w:val="00722F2D"/>
    <w:rsid w:val="007230F2"/>
    <w:rsid w:val="0072370B"/>
    <w:rsid w:val="007239A4"/>
    <w:rsid w:val="00724962"/>
    <w:rsid w:val="00727390"/>
    <w:rsid w:val="00731638"/>
    <w:rsid w:val="00734550"/>
    <w:rsid w:val="00736CD7"/>
    <w:rsid w:val="007378A3"/>
    <w:rsid w:val="00740647"/>
    <w:rsid w:val="00742DCA"/>
    <w:rsid w:val="007433A2"/>
    <w:rsid w:val="007449E3"/>
    <w:rsid w:val="007452FF"/>
    <w:rsid w:val="0074549A"/>
    <w:rsid w:val="0075032A"/>
    <w:rsid w:val="00750C60"/>
    <w:rsid w:val="007539DD"/>
    <w:rsid w:val="00754DF2"/>
    <w:rsid w:val="00756359"/>
    <w:rsid w:val="007614B4"/>
    <w:rsid w:val="00763AB8"/>
    <w:rsid w:val="0076557E"/>
    <w:rsid w:val="007702AD"/>
    <w:rsid w:val="00770481"/>
    <w:rsid w:val="00770CAB"/>
    <w:rsid w:val="00772A7E"/>
    <w:rsid w:val="00773487"/>
    <w:rsid w:val="007757E8"/>
    <w:rsid w:val="0078065F"/>
    <w:rsid w:val="007815EC"/>
    <w:rsid w:val="007850AB"/>
    <w:rsid w:val="00785728"/>
    <w:rsid w:val="00791229"/>
    <w:rsid w:val="00792E3C"/>
    <w:rsid w:val="00793389"/>
    <w:rsid w:val="007964F1"/>
    <w:rsid w:val="007A1B62"/>
    <w:rsid w:val="007A261D"/>
    <w:rsid w:val="007A2C1C"/>
    <w:rsid w:val="007A2F28"/>
    <w:rsid w:val="007B14F1"/>
    <w:rsid w:val="007B222E"/>
    <w:rsid w:val="007B275C"/>
    <w:rsid w:val="007B3471"/>
    <w:rsid w:val="007B6B43"/>
    <w:rsid w:val="007B718A"/>
    <w:rsid w:val="007C04C8"/>
    <w:rsid w:val="007C05FC"/>
    <w:rsid w:val="007C1FB8"/>
    <w:rsid w:val="007C216A"/>
    <w:rsid w:val="007C479B"/>
    <w:rsid w:val="007D0DB5"/>
    <w:rsid w:val="007D1BBD"/>
    <w:rsid w:val="007D23B7"/>
    <w:rsid w:val="007D4C8D"/>
    <w:rsid w:val="007D4D8B"/>
    <w:rsid w:val="007D7C31"/>
    <w:rsid w:val="007E30A3"/>
    <w:rsid w:val="007E4404"/>
    <w:rsid w:val="007E4700"/>
    <w:rsid w:val="007E4A6B"/>
    <w:rsid w:val="007F138D"/>
    <w:rsid w:val="007F1EE6"/>
    <w:rsid w:val="007F2B4F"/>
    <w:rsid w:val="007F4DB1"/>
    <w:rsid w:val="0080106C"/>
    <w:rsid w:val="0080164C"/>
    <w:rsid w:val="00801CF4"/>
    <w:rsid w:val="008035ED"/>
    <w:rsid w:val="00803A9C"/>
    <w:rsid w:val="00804973"/>
    <w:rsid w:val="008077AE"/>
    <w:rsid w:val="00813C37"/>
    <w:rsid w:val="00813E29"/>
    <w:rsid w:val="00814330"/>
    <w:rsid w:val="008204AB"/>
    <w:rsid w:val="0082099E"/>
    <w:rsid w:val="00820CAD"/>
    <w:rsid w:val="008211AF"/>
    <w:rsid w:val="00822310"/>
    <w:rsid w:val="008241CA"/>
    <w:rsid w:val="00827548"/>
    <w:rsid w:val="00827A47"/>
    <w:rsid w:val="00827F38"/>
    <w:rsid w:val="00836126"/>
    <w:rsid w:val="00836972"/>
    <w:rsid w:val="008406BA"/>
    <w:rsid w:val="008435C3"/>
    <w:rsid w:val="00846EE9"/>
    <w:rsid w:val="008470FB"/>
    <w:rsid w:val="00847625"/>
    <w:rsid w:val="00850CAB"/>
    <w:rsid w:val="00853D4E"/>
    <w:rsid w:val="00854939"/>
    <w:rsid w:val="008617F7"/>
    <w:rsid w:val="00863642"/>
    <w:rsid w:val="008636DA"/>
    <w:rsid w:val="00864A7B"/>
    <w:rsid w:val="008654E4"/>
    <w:rsid w:val="008663D2"/>
    <w:rsid w:val="00867176"/>
    <w:rsid w:val="00867EA7"/>
    <w:rsid w:val="00870386"/>
    <w:rsid w:val="0087327E"/>
    <w:rsid w:val="00874F5F"/>
    <w:rsid w:val="00876E14"/>
    <w:rsid w:val="008800A3"/>
    <w:rsid w:val="0088021F"/>
    <w:rsid w:val="0088064F"/>
    <w:rsid w:val="00884512"/>
    <w:rsid w:val="008860CF"/>
    <w:rsid w:val="008910CB"/>
    <w:rsid w:val="00894657"/>
    <w:rsid w:val="0089590D"/>
    <w:rsid w:val="00896509"/>
    <w:rsid w:val="008A0EA2"/>
    <w:rsid w:val="008A54D0"/>
    <w:rsid w:val="008A6E42"/>
    <w:rsid w:val="008A7BA8"/>
    <w:rsid w:val="008B066D"/>
    <w:rsid w:val="008B5026"/>
    <w:rsid w:val="008B567A"/>
    <w:rsid w:val="008B5CDF"/>
    <w:rsid w:val="008B5E86"/>
    <w:rsid w:val="008B7F99"/>
    <w:rsid w:val="008C00FC"/>
    <w:rsid w:val="008C1B74"/>
    <w:rsid w:val="008C3883"/>
    <w:rsid w:val="008C4DAB"/>
    <w:rsid w:val="008D549C"/>
    <w:rsid w:val="008D60AA"/>
    <w:rsid w:val="008D7854"/>
    <w:rsid w:val="008E2C41"/>
    <w:rsid w:val="008E4C5C"/>
    <w:rsid w:val="008E7047"/>
    <w:rsid w:val="008F08B3"/>
    <w:rsid w:val="008F1C60"/>
    <w:rsid w:val="008F29D9"/>
    <w:rsid w:val="008F2FE9"/>
    <w:rsid w:val="008F43E0"/>
    <w:rsid w:val="008F69CD"/>
    <w:rsid w:val="00900F08"/>
    <w:rsid w:val="00901050"/>
    <w:rsid w:val="00902160"/>
    <w:rsid w:val="009041B8"/>
    <w:rsid w:val="009054CB"/>
    <w:rsid w:val="00911612"/>
    <w:rsid w:val="00912BBD"/>
    <w:rsid w:val="00913948"/>
    <w:rsid w:val="00913AA1"/>
    <w:rsid w:val="0091487B"/>
    <w:rsid w:val="00914B9B"/>
    <w:rsid w:val="009176C2"/>
    <w:rsid w:val="00920EC8"/>
    <w:rsid w:val="00924D72"/>
    <w:rsid w:val="00931C91"/>
    <w:rsid w:val="0093225F"/>
    <w:rsid w:val="00933590"/>
    <w:rsid w:val="00934C83"/>
    <w:rsid w:val="00936AA7"/>
    <w:rsid w:val="00936E57"/>
    <w:rsid w:val="0094047C"/>
    <w:rsid w:val="00941633"/>
    <w:rsid w:val="00942AF1"/>
    <w:rsid w:val="00943CA1"/>
    <w:rsid w:val="00944D76"/>
    <w:rsid w:val="00945609"/>
    <w:rsid w:val="0094753E"/>
    <w:rsid w:val="00947600"/>
    <w:rsid w:val="00947D99"/>
    <w:rsid w:val="009510C3"/>
    <w:rsid w:val="0095172C"/>
    <w:rsid w:val="009536F1"/>
    <w:rsid w:val="00954036"/>
    <w:rsid w:val="00954473"/>
    <w:rsid w:val="00954791"/>
    <w:rsid w:val="00955F3A"/>
    <w:rsid w:val="00960635"/>
    <w:rsid w:val="0096068E"/>
    <w:rsid w:val="0096088C"/>
    <w:rsid w:val="0096190B"/>
    <w:rsid w:val="009620DC"/>
    <w:rsid w:val="0096504B"/>
    <w:rsid w:val="00966A13"/>
    <w:rsid w:val="009670BA"/>
    <w:rsid w:val="00970B5F"/>
    <w:rsid w:val="00970E1B"/>
    <w:rsid w:val="00973EB2"/>
    <w:rsid w:val="00976A16"/>
    <w:rsid w:val="00977CE9"/>
    <w:rsid w:val="00977E79"/>
    <w:rsid w:val="00983197"/>
    <w:rsid w:val="00983CA6"/>
    <w:rsid w:val="009841B5"/>
    <w:rsid w:val="00986DF6"/>
    <w:rsid w:val="00986E85"/>
    <w:rsid w:val="009879A5"/>
    <w:rsid w:val="00990E58"/>
    <w:rsid w:val="00992344"/>
    <w:rsid w:val="00993077"/>
    <w:rsid w:val="009941A1"/>
    <w:rsid w:val="009944A9"/>
    <w:rsid w:val="00997F36"/>
    <w:rsid w:val="009A282E"/>
    <w:rsid w:val="009A2862"/>
    <w:rsid w:val="009A4144"/>
    <w:rsid w:val="009A4E45"/>
    <w:rsid w:val="009A510C"/>
    <w:rsid w:val="009A6DF7"/>
    <w:rsid w:val="009B2134"/>
    <w:rsid w:val="009B336B"/>
    <w:rsid w:val="009B50AD"/>
    <w:rsid w:val="009B5129"/>
    <w:rsid w:val="009B52AC"/>
    <w:rsid w:val="009B6E0E"/>
    <w:rsid w:val="009B6ED9"/>
    <w:rsid w:val="009C35A8"/>
    <w:rsid w:val="009C586B"/>
    <w:rsid w:val="009C692D"/>
    <w:rsid w:val="009C7A46"/>
    <w:rsid w:val="009C7FA3"/>
    <w:rsid w:val="009D05FB"/>
    <w:rsid w:val="009D49E7"/>
    <w:rsid w:val="009D5DE3"/>
    <w:rsid w:val="009D759B"/>
    <w:rsid w:val="009E01B8"/>
    <w:rsid w:val="009E24A9"/>
    <w:rsid w:val="009E3739"/>
    <w:rsid w:val="009E3A83"/>
    <w:rsid w:val="009E4852"/>
    <w:rsid w:val="009E6D4F"/>
    <w:rsid w:val="009F0948"/>
    <w:rsid w:val="009F1683"/>
    <w:rsid w:val="009F1DC4"/>
    <w:rsid w:val="009F210A"/>
    <w:rsid w:val="009F6068"/>
    <w:rsid w:val="009F6195"/>
    <w:rsid w:val="009F6E5B"/>
    <w:rsid w:val="00A0472C"/>
    <w:rsid w:val="00A04963"/>
    <w:rsid w:val="00A04A89"/>
    <w:rsid w:val="00A07033"/>
    <w:rsid w:val="00A07512"/>
    <w:rsid w:val="00A107EA"/>
    <w:rsid w:val="00A113BE"/>
    <w:rsid w:val="00A12F32"/>
    <w:rsid w:val="00A16ABE"/>
    <w:rsid w:val="00A16E4E"/>
    <w:rsid w:val="00A202E2"/>
    <w:rsid w:val="00A22A63"/>
    <w:rsid w:val="00A2412A"/>
    <w:rsid w:val="00A25EF0"/>
    <w:rsid w:val="00A26191"/>
    <w:rsid w:val="00A263ED"/>
    <w:rsid w:val="00A2738F"/>
    <w:rsid w:val="00A30400"/>
    <w:rsid w:val="00A31AE3"/>
    <w:rsid w:val="00A32352"/>
    <w:rsid w:val="00A34486"/>
    <w:rsid w:val="00A415A3"/>
    <w:rsid w:val="00A43F44"/>
    <w:rsid w:val="00A44833"/>
    <w:rsid w:val="00A51252"/>
    <w:rsid w:val="00A51723"/>
    <w:rsid w:val="00A52183"/>
    <w:rsid w:val="00A61160"/>
    <w:rsid w:val="00A61E28"/>
    <w:rsid w:val="00A63E63"/>
    <w:rsid w:val="00A67E4D"/>
    <w:rsid w:val="00A702CF"/>
    <w:rsid w:val="00A72DDF"/>
    <w:rsid w:val="00A73E61"/>
    <w:rsid w:val="00A748C8"/>
    <w:rsid w:val="00A76223"/>
    <w:rsid w:val="00A80D18"/>
    <w:rsid w:val="00A81B23"/>
    <w:rsid w:val="00A81E8A"/>
    <w:rsid w:val="00A8403C"/>
    <w:rsid w:val="00A841A9"/>
    <w:rsid w:val="00A848E4"/>
    <w:rsid w:val="00A84E13"/>
    <w:rsid w:val="00A87145"/>
    <w:rsid w:val="00A87B75"/>
    <w:rsid w:val="00A901A8"/>
    <w:rsid w:val="00A91F24"/>
    <w:rsid w:val="00A94862"/>
    <w:rsid w:val="00A94C68"/>
    <w:rsid w:val="00A968E5"/>
    <w:rsid w:val="00A96FF5"/>
    <w:rsid w:val="00AA00DC"/>
    <w:rsid w:val="00AA112A"/>
    <w:rsid w:val="00AA4D24"/>
    <w:rsid w:val="00AA7C77"/>
    <w:rsid w:val="00AB01E2"/>
    <w:rsid w:val="00AB0B3D"/>
    <w:rsid w:val="00AB33E2"/>
    <w:rsid w:val="00AC2C2B"/>
    <w:rsid w:val="00AC3093"/>
    <w:rsid w:val="00AC5B30"/>
    <w:rsid w:val="00AD11B6"/>
    <w:rsid w:val="00AD144B"/>
    <w:rsid w:val="00AD3212"/>
    <w:rsid w:val="00AD4041"/>
    <w:rsid w:val="00AD4FBC"/>
    <w:rsid w:val="00AD62F0"/>
    <w:rsid w:val="00AD661D"/>
    <w:rsid w:val="00AD6A29"/>
    <w:rsid w:val="00AD7AC1"/>
    <w:rsid w:val="00AE0DE5"/>
    <w:rsid w:val="00AE2EC8"/>
    <w:rsid w:val="00AE33DF"/>
    <w:rsid w:val="00AE438B"/>
    <w:rsid w:val="00AE43E0"/>
    <w:rsid w:val="00AE4421"/>
    <w:rsid w:val="00AE5713"/>
    <w:rsid w:val="00AE5C08"/>
    <w:rsid w:val="00AE6598"/>
    <w:rsid w:val="00AF3FFB"/>
    <w:rsid w:val="00AF430A"/>
    <w:rsid w:val="00AF6BF0"/>
    <w:rsid w:val="00B004E0"/>
    <w:rsid w:val="00B00E90"/>
    <w:rsid w:val="00B012CA"/>
    <w:rsid w:val="00B02042"/>
    <w:rsid w:val="00B02C43"/>
    <w:rsid w:val="00B02CA1"/>
    <w:rsid w:val="00B03F63"/>
    <w:rsid w:val="00B076EC"/>
    <w:rsid w:val="00B10A43"/>
    <w:rsid w:val="00B168AB"/>
    <w:rsid w:val="00B168D5"/>
    <w:rsid w:val="00B17927"/>
    <w:rsid w:val="00B231C6"/>
    <w:rsid w:val="00B24757"/>
    <w:rsid w:val="00B265ED"/>
    <w:rsid w:val="00B3136D"/>
    <w:rsid w:val="00B31A2E"/>
    <w:rsid w:val="00B33FB2"/>
    <w:rsid w:val="00B361DC"/>
    <w:rsid w:val="00B36894"/>
    <w:rsid w:val="00B37916"/>
    <w:rsid w:val="00B402E7"/>
    <w:rsid w:val="00B4030F"/>
    <w:rsid w:val="00B416EE"/>
    <w:rsid w:val="00B42908"/>
    <w:rsid w:val="00B439AB"/>
    <w:rsid w:val="00B43E7C"/>
    <w:rsid w:val="00B45142"/>
    <w:rsid w:val="00B46C75"/>
    <w:rsid w:val="00B47FF9"/>
    <w:rsid w:val="00B50845"/>
    <w:rsid w:val="00B513F4"/>
    <w:rsid w:val="00B51997"/>
    <w:rsid w:val="00B528F5"/>
    <w:rsid w:val="00B53777"/>
    <w:rsid w:val="00B5465E"/>
    <w:rsid w:val="00B5684C"/>
    <w:rsid w:val="00B5719C"/>
    <w:rsid w:val="00B61968"/>
    <w:rsid w:val="00B62FC5"/>
    <w:rsid w:val="00B63215"/>
    <w:rsid w:val="00B64FA4"/>
    <w:rsid w:val="00B70540"/>
    <w:rsid w:val="00B70B52"/>
    <w:rsid w:val="00B71803"/>
    <w:rsid w:val="00B73B5F"/>
    <w:rsid w:val="00B804CA"/>
    <w:rsid w:val="00B82DF7"/>
    <w:rsid w:val="00B84B79"/>
    <w:rsid w:val="00B85F00"/>
    <w:rsid w:val="00B87C96"/>
    <w:rsid w:val="00B911BB"/>
    <w:rsid w:val="00B927D3"/>
    <w:rsid w:val="00B94EA3"/>
    <w:rsid w:val="00B951AE"/>
    <w:rsid w:val="00B97980"/>
    <w:rsid w:val="00BA2755"/>
    <w:rsid w:val="00BA2EA0"/>
    <w:rsid w:val="00BA3071"/>
    <w:rsid w:val="00BA3553"/>
    <w:rsid w:val="00BA35A8"/>
    <w:rsid w:val="00BA4058"/>
    <w:rsid w:val="00BA5461"/>
    <w:rsid w:val="00BA7C3B"/>
    <w:rsid w:val="00BB3133"/>
    <w:rsid w:val="00BB4A3A"/>
    <w:rsid w:val="00BB4A7F"/>
    <w:rsid w:val="00BB61EF"/>
    <w:rsid w:val="00BC274C"/>
    <w:rsid w:val="00BC4D47"/>
    <w:rsid w:val="00BC7635"/>
    <w:rsid w:val="00BD7453"/>
    <w:rsid w:val="00BE02F0"/>
    <w:rsid w:val="00BE37BF"/>
    <w:rsid w:val="00BE3F55"/>
    <w:rsid w:val="00BE5169"/>
    <w:rsid w:val="00BF1591"/>
    <w:rsid w:val="00BF206A"/>
    <w:rsid w:val="00BF4126"/>
    <w:rsid w:val="00BF765F"/>
    <w:rsid w:val="00C008CC"/>
    <w:rsid w:val="00C01F8B"/>
    <w:rsid w:val="00C1070B"/>
    <w:rsid w:val="00C129BF"/>
    <w:rsid w:val="00C204DF"/>
    <w:rsid w:val="00C2076A"/>
    <w:rsid w:val="00C2090C"/>
    <w:rsid w:val="00C24DAA"/>
    <w:rsid w:val="00C26973"/>
    <w:rsid w:val="00C323E1"/>
    <w:rsid w:val="00C33A43"/>
    <w:rsid w:val="00C3687D"/>
    <w:rsid w:val="00C36E25"/>
    <w:rsid w:val="00C3706C"/>
    <w:rsid w:val="00C44E14"/>
    <w:rsid w:val="00C458DD"/>
    <w:rsid w:val="00C552F9"/>
    <w:rsid w:val="00C56CB5"/>
    <w:rsid w:val="00C6051B"/>
    <w:rsid w:val="00C626FE"/>
    <w:rsid w:val="00C62BF0"/>
    <w:rsid w:val="00C63179"/>
    <w:rsid w:val="00C63208"/>
    <w:rsid w:val="00C638BE"/>
    <w:rsid w:val="00C64197"/>
    <w:rsid w:val="00C647F3"/>
    <w:rsid w:val="00C64867"/>
    <w:rsid w:val="00C6601A"/>
    <w:rsid w:val="00C7092F"/>
    <w:rsid w:val="00C70FBF"/>
    <w:rsid w:val="00C759C7"/>
    <w:rsid w:val="00C75E8E"/>
    <w:rsid w:val="00C77FD1"/>
    <w:rsid w:val="00C832ED"/>
    <w:rsid w:val="00C8358B"/>
    <w:rsid w:val="00C851AD"/>
    <w:rsid w:val="00C863CF"/>
    <w:rsid w:val="00C90098"/>
    <w:rsid w:val="00C90221"/>
    <w:rsid w:val="00C91871"/>
    <w:rsid w:val="00C94E3B"/>
    <w:rsid w:val="00C97BDA"/>
    <w:rsid w:val="00CA1225"/>
    <w:rsid w:val="00CA17DE"/>
    <w:rsid w:val="00CA20BA"/>
    <w:rsid w:val="00CA2A57"/>
    <w:rsid w:val="00CA4475"/>
    <w:rsid w:val="00CA47B2"/>
    <w:rsid w:val="00CB1E75"/>
    <w:rsid w:val="00CB3552"/>
    <w:rsid w:val="00CB358E"/>
    <w:rsid w:val="00CB4484"/>
    <w:rsid w:val="00CB6A72"/>
    <w:rsid w:val="00CB74EB"/>
    <w:rsid w:val="00CC3640"/>
    <w:rsid w:val="00CC3D0E"/>
    <w:rsid w:val="00CC6EF7"/>
    <w:rsid w:val="00CC712A"/>
    <w:rsid w:val="00CC791A"/>
    <w:rsid w:val="00CD4DA9"/>
    <w:rsid w:val="00CD6A06"/>
    <w:rsid w:val="00CD6EC8"/>
    <w:rsid w:val="00CD7630"/>
    <w:rsid w:val="00CE0D3B"/>
    <w:rsid w:val="00CE272D"/>
    <w:rsid w:val="00CE52B7"/>
    <w:rsid w:val="00CE6559"/>
    <w:rsid w:val="00CE7090"/>
    <w:rsid w:val="00CF3574"/>
    <w:rsid w:val="00D0061E"/>
    <w:rsid w:val="00D010BD"/>
    <w:rsid w:val="00D02CCC"/>
    <w:rsid w:val="00D03A65"/>
    <w:rsid w:val="00D10B0D"/>
    <w:rsid w:val="00D149A6"/>
    <w:rsid w:val="00D16EF0"/>
    <w:rsid w:val="00D17AFE"/>
    <w:rsid w:val="00D20C1A"/>
    <w:rsid w:val="00D2132A"/>
    <w:rsid w:val="00D21E82"/>
    <w:rsid w:val="00D231DF"/>
    <w:rsid w:val="00D24DCE"/>
    <w:rsid w:val="00D2529E"/>
    <w:rsid w:val="00D3010F"/>
    <w:rsid w:val="00D32074"/>
    <w:rsid w:val="00D335AF"/>
    <w:rsid w:val="00D417E1"/>
    <w:rsid w:val="00D42FEC"/>
    <w:rsid w:val="00D4331A"/>
    <w:rsid w:val="00D478A8"/>
    <w:rsid w:val="00D5067B"/>
    <w:rsid w:val="00D51C0E"/>
    <w:rsid w:val="00D52356"/>
    <w:rsid w:val="00D54AB2"/>
    <w:rsid w:val="00D55B02"/>
    <w:rsid w:val="00D56B08"/>
    <w:rsid w:val="00D6304C"/>
    <w:rsid w:val="00D637C1"/>
    <w:rsid w:val="00D64212"/>
    <w:rsid w:val="00D64D3E"/>
    <w:rsid w:val="00D65927"/>
    <w:rsid w:val="00D7002C"/>
    <w:rsid w:val="00D707C7"/>
    <w:rsid w:val="00D71EEB"/>
    <w:rsid w:val="00D7796C"/>
    <w:rsid w:val="00D77BCA"/>
    <w:rsid w:val="00D8018A"/>
    <w:rsid w:val="00D817AD"/>
    <w:rsid w:val="00D82A86"/>
    <w:rsid w:val="00D82BFC"/>
    <w:rsid w:val="00D848FB"/>
    <w:rsid w:val="00D84DF4"/>
    <w:rsid w:val="00D84FD6"/>
    <w:rsid w:val="00D9107B"/>
    <w:rsid w:val="00D934C0"/>
    <w:rsid w:val="00D93968"/>
    <w:rsid w:val="00D95A8D"/>
    <w:rsid w:val="00D9600B"/>
    <w:rsid w:val="00D9767B"/>
    <w:rsid w:val="00D97F6F"/>
    <w:rsid w:val="00DA3C35"/>
    <w:rsid w:val="00DB00DD"/>
    <w:rsid w:val="00DB1A8F"/>
    <w:rsid w:val="00DB1D63"/>
    <w:rsid w:val="00DB357B"/>
    <w:rsid w:val="00DB587C"/>
    <w:rsid w:val="00DC1954"/>
    <w:rsid w:val="00DC28B2"/>
    <w:rsid w:val="00DC2D6E"/>
    <w:rsid w:val="00DC3DC4"/>
    <w:rsid w:val="00DC3E9C"/>
    <w:rsid w:val="00DC3F76"/>
    <w:rsid w:val="00DC58F7"/>
    <w:rsid w:val="00DC5F4F"/>
    <w:rsid w:val="00DC6010"/>
    <w:rsid w:val="00DC6015"/>
    <w:rsid w:val="00DC733F"/>
    <w:rsid w:val="00DD1F34"/>
    <w:rsid w:val="00DD23AF"/>
    <w:rsid w:val="00DD46B3"/>
    <w:rsid w:val="00DD4D01"/>
    <w:rsid w:val="00DD5714"/>
    <w:rsid w:val="00DD5F93"/>
    <w:rsid w:val="00DD5FB3"/>
    <w:rsid w:val="00DD6F8D"/>
    <w:rsid w:val="00DE180E"/>
    <w:rsid w:val="00DE1E65"/>
    <w:rsid w:val="00DE30D7"/>
    <w:rsid w:val="00DE436F"/>
    <w:rsid w:val="00DE55F7"/>
    <w:rsid w:val="00DE7EAF"/>
    <w:rsid w:val="00DF4D7C"/>
    <w:rsid w:val="00DF746F"/>
    <w:rsid w:val="00E00B65"/>
    <w:rsid w:val="00E05733"/>
    <w:rsid w:val="00E11055"/>
    <w:rsid w:val="00E1193D"/>
    <w:rsid w:val="00E11D57"/>
    <w:rsid w:val="00E11D7F"/>
    <w:rsid w:val="00E13A3A"/>
    <w:rsid w:val="00E13E76"/>
    <w:rsid w:val="00E169FC"/>
    <w:rsid w:val="00E21FC9"/>
    <w:rsid w:val="00E23AD1"/>
    <w:rsid w:val="00E302D5"/>
    <w:rsid w:val="00E308A9"/>
    <w:rsid w:val="00E31317"/>
    <w:rsid w:val="00E3139F"/>
    <w:rsid w:val="00E3404E"/>
    <w:rsid w:val="00E34FFA"/>
    <w:rsid w:val="00E35AF5"/>
    <w:rsid w:val="00E377D6"/>
    <w:rsid w:val="00E4138D"/>
    <w:rsid w:val="00E43020"/>
    <w:rsid w:val="00E4415F"/>
    <w:rsid w:val="00E45797"/>
    <w:rsid w:val="00E4720B"/>
    <w:rsid w:val="00E5055B"/>
    <w:rsid w:val="00E535B1"/>
    <w:rsid w:val="00E61166"/>
    <w:rsid w:val="00E61823"/>
    <w:rsid w:val="00E63FC1"/>
    <w:rsid w:val="00E6545F"/>
    <w:rsid w:val="00E66739"/>
    <w:rsid w:val="00E67A1B"/>
    <w:rsid w:val="00E719B3"/>
    <w:rsid w:val="00E733A9"/>
    <w:rsid w:val="00E74087"/>
    <w:rsid w:val="00E74599"/>
    <w:rsid w:val="00E77CEB"/>
    <w:rsid w:val="00E8406B"/>
    <w:rsid w:val="00E87665"/>
    <w:rsid w:val="00E87CE3"/>
    <w:rsid w:val="00E90665"/>
    <w:rsid w:val="00E907E5"/>
    <w:rsid w:val="00E95CDE"/>
    <w:rsid w:val="00E9653F"/>
    <w:rsid w:val="00E977C0"/>
    <w:rsid w:val="00E979C7"/>
    <w:rsid w:val="00E97EC1"/>
    <w:rsid w:val="00EA091D"/>
    <w:rsid w:val="00EA1425"/>
    <w:rsid w:val="00EA2DD5"/>
    <w:rsid w:val="00EA6EC6"/>
    <w:rsid w:val="00EB0675"/>
    <w:rsid w:val="00EB1212"/>
    <w:rsid w:val="00EB5033"/>
    <w:rsid w:val="00EB52CA"/>
    <w:rsid w:val="00EB5853"/>
    <w:rsid w:val="00EB6E83"/>
    <w:rsid w:val="00EC0F87"/>
    <w:rsid w:val="00EC1AEF"/>
    <w:rsid w:val="00EC4BD0"/>
    <w:rsid w:val="00EC4F5D"/>
    <w:rsid w:val="00EC5D4B"/>
    <w:rsid w:val="00EC6DAC"/>
    <w:rsid w:val="00ED3138"/>
    <w:rsid w:val="00ED4813"/>
    <w:rsid w:val="00ED6BEF"/>
    <w:rsid w:val="00ED7A0B"/>
    <w:rsid w:val="00EE031A"/>
    <w:rsid w:val="00EE2284"/>
    <w:rsid w:val="00EE3596"/>
    <w:rsid w:val="00EE542A"/>
    <w:rsid w:val="00EE5F1F"/>
    <w:rsid w:val="00EE6A42"/>
    <w:rsid w:val="00EE78F7"/>
    <w:rsid w:val="00EF253F"/>
    <w:rsid w:val="00EF46B1"/>
    <w:rsid w:val="00EF7B35"/>
    <w:rsid w:val="00F01FE3"/>
    <w:rsid w:val="00F02645"/>
    <w:rsid w:val="00F0421E"/>
    <w:rsid w:val="00F05770"/>
    <w:rsid w:val="00F104AF"/>
    <w:rsid w:val="00F1100C"/>
    <w:rsid w:val="00F1282B"/>
    <w:rsid w:val="00F12E02"/>
    <w:rsid w:val="00F14007"/>
    <w:rsid w:val="00F17178"/>
    <w:rsid w:val="00F228D7"/>
    <w:rsid w:val="00F22C8F"/>
    <w:rsid w:val="00F241F9"/>
    <w:rsid w:val="00F252BA"/>
    <w:rsid w:val="00F25647"/>
    <w:rsid w:val="00F25FE7"/>
    <w:rsid w:val="00F2720A"/>
    <w:rsid w:val="00F30AC0"/>
    <w:rsid w:val="00F33F1E"/>
    <w:rsid w:val="00F37A8E"/>
    <w:rsid w:val="00F40278"/>
    <w:rsid w:val="00F4131A"/>
    <w:rsid w:val="00F41ED9"/>
    <w:rsid w:val="00F42E52"/>
    <w:rsid w:val="00F43508"/>
    <w:rsid w:val="00F54D7C"/>
    <w:rsid w:val="00F5688A"/>
    <w:rsid w:val="00F56BC3"/>
    <w:rsid w:val="00F57B1C"/>
    <w:rsid w:val="00F57E42"/>
    <w:rsid w:val="00F614DC"/>
    <w:rsid w:val="00F635CF"/>
    <w:rsid w:val="00F64231"/>
    <w:rsid w:val="00F652C4"/>
    <w:rsid w:val="00F65658"/>
    <w:rsid w:val="00F672AC"/>
    <w:rsid w:val="00F674C8"/>
    <w:rsid w:val="00F720C6"/>
    <w:rsid w:val="00F72552"/>
    <w:rsid w:val="00F73890"/>
    <w:rsid w:val="00F802A1"/>
    <w:rsid w:val="00F80B3C"/>
    <w:rsid w:val="00F8133B"/>
    <w:rsid w:val="00F821F9"/>
    <w:rsid w:val="00F839E3"/>
    <w:rsid w:val="00F83B50"/>
    <w:rsid w:val="00F83C5A"/>
    <w:rsid w:val="00F878C0"/>
    <w:rsid w:val="00F91DD0"/>
    <w:rsid w:val="00F93B6D"/>
    <w:rsid w:val="00F973EF"/>
    <w:rsid w:val="00FA195B"/>
    <w:rsid w:val="00FB1105"/>
    <w:rsid w:val="00FB262E"/>
    <w:rsid w:val="00FB3B4B"/>
    <w:rsid w:val="00FB488A"/>
    <w:rsid w:val="00FB5093"/>
    <w:rsid w:val="00FB6232"/>
    <w:rsid w:val="00FB7375"/>
    <w:rsid w:val="00FB77B1"/>
    <w:rsid w:val="00FB7863"/>
    <w:rsid w:val="00FB7D7B"/>
    <w:rsid w:val="00FC2D2F"/>
    <w:rsid w:val="00FD0741"/>
    <w:rsid w:val="00FD0ABA"/>
    <w:rsid w:val="00FD4E93"/>
    <w:rsid w:val="00FE21F7"/>
    <w:rsid w:val="00FE2AA0"/>
    <w:rsid w:val="00FE36C6"/>
    <w:rsid w:val="00FE373E"/>
    <w:rsid w:val="00FE4501"/>
    <w:rsid w:val="00FE6063"/>
    <w:rsid w:val="00FE62B8"/>
    <w:rsid w:val="00FE755D"/>
    <w:rsid w:val="00FF0839"/>
    <w:rsid w:val="00FF3304"/>
    <w:rsid w:val="00FF3ED1"/>
    <w:rsid w:val="00FF3FDF"/>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0AF98"/>
  <w15:chartTrackingRefBased/>
  <w15:docId w15:val="{B5427130-1C19-4DE5-80BD-438C1873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1D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A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6464"/>
    <w:pPr>
      <w:outlineLvl w:val="9"/>
    </w:pPr>
  </w:style>
  <w:style w:type="paragraph" w:styleId="TOC1">
    <w:name w:val="toc 1"/>
    <w:basedOn w:val="Normal"/>
    <w:next w:val="Normal"/>
    <w:autoRedefine/>
    <w:uiPriority w:val="39"/>
    <w:unhideWhenUsed/>
    <w:rsid w:val="00A94C68"/>
    <w:pPr>
      <w:tabs>
        <w:tab w:val="right" w:leader="dot" w:pos="9350"/>
      </w:tabs>
      <w:spacing w:after="0"/>
    </w:pPr>
  </w:style>
  <w:style w:type="character" w:styleId="Hyperlink">
    <w:name w:val="Hyperlink"/>
    <w:basedOn w:val="DefaultParagraphFont"/>
    <w:uiPriority w:val="99"/>
    <w:unhideWhenUsed/>
    <w:rsid w:val="002B6464"/>
    <w:rPr>
      <w:color w:val="0563C1" w:themeColor="hyperlink"/>
      <w:u w:val="single"/>
    </w:rPr>
  </w:style>
  <w:style w:type="paragraph" w:styleId="ListParagraph">
    <w:name w:val="List Paragraph"/>
    <w:basedOn w:val="Normal"/>
    <w:uiPriority w:val="34"/>
    <w:qFormat/>
    <w:rsid w:val="00AD62F0"/>
    <w:pPr>
      <w:ind w:left="720"/>
      <w:contextualSpacing/>
    </w:pPr>
  </w:style>
  <w:style w:type="paragraph" w:styleId="FootnoteText">
    <w:name w:val="footnote text"/>
    <w:basedOn w:val="Normal"/>
    <w:link w:val="FootnoteTextChar"/>
    <w:uiPriority w:val="99"/>
    <w:unhideWhenUsed/>
    <w:rsid w:val="006565B1"/>
    <w:pPr>
      <w:spacing w:after="0" w:line="240" w:lineRule="auto"/>
    </w:pPr>
    <w:rPr>
      <w:sz w:val="20"/>
      <w:szCs w:val="20"/>
    </w:rPr>
  </w:style>
  <w:style w:type="character" w:customStyle="1" w:styleId="FootnoteTextChar">
    <w:name w:val="Footnote Text Char"/>
    <w:basedOn w:val="DefaultParagraphFont"/>
    <w:link w:val="FootnoteText"/>
    <w:uiPriority w:val="99"/>
    <w:rsid w:val="006565B1"/>
    <w:rPr>
      <w:sz w:val="20"/>
      <w:szCs w:val="20"/>
    </w:rPr>
  </w:style>
  <w:style w:type="character" w:styleId="FootnoteReference">
    <w:name w:val="footnote reference"/>
    <w:basedOn w:val="DefaultParagraphFont"/>
    <w:uiPriority w:val="99"/>
    <w:semiHidden/>
    <w:unhideWhenUsed/>
    <w:rsid w:val="006565B1"/>
    <w:rPr>
      <w:vertAlign w:val="superscript"/>
    </w:rPr>
  </w:style>
  <w:style w:type="character" w:styleId="CommentReference">
    <w:name w:val="annotation reference"/>
    <w:basedOn w:val="DefaultParagraphFont"/>
    <w:uiPriority w:val="99"/>
    <w:semiHidden/>
    <w:unhideWhenUsed/>
    <w:rsid w:val="00EA2DD5"/>
    <w:rPr>
      <w:sz w:val="16"/>
      <w:szCs w:val="16"/>
    </w:rPr>
  </w:style>
  <w:style w:type="paragraph" w:styleId="CommentText">
    <w:name w:val="annotation text"/>
    <w:basedOn w:val="Normal"/>
    <w:link w:val="CommentTextChar"/>
    <w:uiPriority w:val="99"/>
    <w:semiHidden/>
    <w:unhideWhenUsed/>
    <w:rsid w:val="00EA2DD5"/>
    <w:pPr>
      <w:spacing w:line="240" w:lineRule="auto"/>
    </w:pPr>
    <w:rPr>
      <w:sz w:val="20"/>
      <w:szCs w:val="20"/>
    </w:rPr>
  </w:style>
  <w:style w:type="character" w:customStyle="1" w:styleId="CommentTextChar">
    <w:name w:val="Comment Text Char"/>
    <w:basedOn w:val="DefaultParagraphFont"/>
    <w:link w:val="CommentText"/>
    <w:uiPriority w:val="99"/>
    <w:semiHidden/>
    <w:rsid w:val="00EA2DD5"/>
    <w:rPr>
      <w:sz w:val="20"/>
      <w:szCs w:val="20"/>
    </w:rPr>
  </w:style>
  <w:style w:type="paragraph" w:styleId="CommentSubject">
    <w:name w:val="annotation subject"/>
    <w:basedOn w:val="CommentText"/>
    <w:next w:val="CommentText"/>
    <w:link w:val="CommentSubjectChar"/>
    <w:uiPriority w:val="99"/>
    <w:semiHidden/>
    <w:unhideWhenUsed/>
    <w:rsid w:val="00EA2DD5"/>
    <w:rPr>
      <w:b/>
      <w:bCs/>
    </w:rPr>
  </w:style>
  <w:style w:type="character" w:customStyle="1" w:styleId="CommentSubjectChar">
    <w:name w:val="Comment Subject Char"/>
    <w:basedOn w:val="CommentTextChar"/>
    <w:link w:val="CommentSubject"/>
    <w:uiPriority w:val="99"/>
    <w:semiHidden/>
    <w:rsid w:val="00EA2DD5"/>
    <w:rPr>
      <w:b/>
      <w:bCs/>
      <w:sz w:val="20"/>
      <w:szCs w:val="20"/>
    </w:rPr>
  </w:style>
  <w:style w:type="paragraph" w:styleId="Header">
    <w:name w:val="header"/>
    <w:basedOn w:val="Normal"/>
    <w:link w:val="HeaderChar"/>
    <w:uiPriority w:val="99"/>
    <w:unhideWhenUsed/>
    <w:rsid w:val="00EA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425"/>
  </w:style>
  <w:style w:type="paragraph" w:styleId="Footer">
    <w:name w:val="footer"/>
    <w:basedOn w:val="Normal"/>
    <w:link w:val="FooterChar"/>
    <w:uiPriority w:val="99"/>
    <w:unhideWhenUsed/>
    <w:rsid w:val="00EA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425"/>
  </w:style>
  <w:style w:type="character" w:styleId="UnresolvedMention">
    <w:name w:val="Unresolved Mention"/>
    <w:basedOn w:val="DefaultParagraphFont"/>
    <w:uiPriority w:val="99"/>
    <w:unhideWhenUsed/>
    <w:rsid w:val="00854939"/>
    <w:rPr>
      <w:color w:val="605E5C"/>
      <w:shd w:val="clear" w:color="auto" w:fill="E1DFDD"/>
    </w:rPr>
  </w:style>
  <w:style w:type="character" w:customStyle="1" w:styleId="Heading2Char">
    <w:name w:val="Heading 2 Char"/>
    <w:basedOn w:val="DefaultParagraphFont"/>
    <w:link w:val="Heading2"/>
    <w:uiPriority w:val="9"/>
    <w:rsid w:val="00401DD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64197"/>
    <w:pPr>
      <w:spacing w:after="100"/>
      <w:ind w:left="220"/>
    </w:pPr>
  </w:style>
  <w:style w:type="character" w:styleId="Mention">
    <w:name w:val="Mention"/>
    <w:basedOn w:val="DefaultParagraphFont"/>
    <w:uiPriority w:val="99"/>
    <w:unhideWhenUsed/>
    <w:rsid w:val="00FB262E"/>
    <w:rPr>
      <w:color w:val="2B579A"/>
      <w:shd w:val="clear" w:color="auto" w:fill="E1DFDD"/>
    </w:rPr>
  </w:style>
  <w:style w:type="paragraph" w:styleId="Revision">
    <w:name w:val="Revision"/>
    <w:hidden/>
    <w:uiPriority w:val="99"/>
    <w:semiHidden/>
    <w:rsid w:val="00E4720B"/>
    <w:pPr>
      <w:spacing w:after="0" w:line="240" w:lineRule="auto"/>
    </w:pPr>
  </w:style>
  <w:style w:type="character" w:styleId="FollowedHyperlink">
    <w:name w:val="FollowedHyperlink"/>
    <w:basedOn w:val="DefaultParagraphFont"/>
    <w:uiPriority w:val="99"/>
    <w:semiHidden/>
    <w:unhideWhenUsed/>
    <w:rsid w:val="0048691C"/>
    <w:rPr>
      <w:color w:val="954F72" w:themeColor="followedHyperlink"/>
      <w:u w:val="single"/>
    </w:rPr>
  </w:style>
  <w:style w:type="paragraph" w:customStyle="1" w:styleId="apoint2012028letter29p10">
    <w:name w:val="a_point_20_1_20__28_letter_29__p10"/>
    <w:basedOn w:val="Normal"/>
    <w:rsid w:val="001D0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oint2012028letter29p11">
    <w:name w:val="a_point_20_1_20__28_letter_29__p11"/>
    <w:basedOn w:val="Normal"/>
    <w:rsid w:val="001D0E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4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8257">
      <w:bodyDiv w:val="1"/>
      <w:marLeft w:val="0"/>
      <w:marRight w:val="0"/>
      <w:marTop w:val="0"/>
      <w:marBottom w:val="0"/>
      <w:divBdr>
        <w:top w:val="none" w:sz="0" w:space="0" w:color="auto"/>
        <w:left w:val="none" w:sz="0" w:space="0" w:color="auto"/>
        <w:bottom w:val="none" w:sz="0" w:space="0" w:color="auto"/>
        <w:right w:val="none" w:sz="0" w:space="0" w:color="auto"/>
      </w:divBdr>
    </w:div>
    <w:div w:id="13115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h2.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bartlett@gh2.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fc.org/wps/wcm/connect/topics_ext_content/ifc_external_corporate_site/sustainability-at-ifc/policies-standards/performance-standards/ps7" TargetMode="External"/><Relationship Id="rId3" Type="http://schemas.openxmlformats.org/officeDocument/2006/relationships/hyperlink" Target="https://sdgs.un.org/news/proposed-global-roadmap-shows-how-universal-access-sustainable%20-energy-can-be-achieved-2030" TargetMode="External"/><Relationship Id="rId7" Type="http://schemas.openxmlformats.org/officeDocument/2006/relationships/hyperlink" Target="https://www.ifc.org/wps/wcm/connect/topics_ext_content/ifc_external_corporate_site/sustainability-at-ifc/policies-standards/performance-standards/ps5" TargetMode="External"/><Relationship Id="rId12" Type="http://schemas.openxmlformats.org/officeDocument/2006/relationships/hyperlink" Target="https://www.iphe.net/iphe-working-paper-methodology-doc-oct-2021" TargetMode="External"/><Relationship Id="rId2" Type="http://schemas.openxmlformats.org/officeDocument/2006/relationships/hyperlink" Target="https://sdgs.un.org/goals" TargetMode="External"/><Relationship Id="rId1" Type="http://schemas.openxmlformats.org/officeDocument/2006/relationships/hyperlink" Target="https://www.iphe.net/iphe-working-paper-methodology-doc-oct-2021" TargetMode="External"/><Relationship Id="rId6" Type="http://schemas.openxmlformats.org/officeDocument/2006/relationships/hyperlink" Target="https://www.ifc.org/wps/wcm/connect/topics_ext_content/ifc_external_corporate_site/sustainability-at-ifc/policies-standards/performance-standards/ps1" TargetMode="External"/><Relationship Id="rId11" Type="http://schemas.openxmlformats.org/officeDocument/2006/relationships/hyperlink" Target="https://gh2.org/about/our-principles" TargetMode="External"/><Relationship Id="rId5" Type="http://schemas.openxmlformats.org/officeDocument/2006/relationships/hyperlink" Target="https://static1.squarespace.com/static/5c1978d3ee1759dc44fbd8ba/t/61379550f76c7d53f2b0f446/1631032662564/Hydropower+sustainabiity+standard+310821+01b.pdf" TargetMode="External"/><Relationship Id="rId10" Type="http://schemas.openxmlformats.org/officeDocument/2006/relationships/hyperlink" Target="https://www.iphe.net/iphe-working-paper-methodology-doc-oct-2021" TargetMode="External"/><Relationship Id="rId4" Type="http://schemas.openxmlformats.org/officeDocument/2006/relationships/hyperlink" Target="https://www.ifc.org/wps/wcm/connect/Topics_Ext_Content/IFC_External_Corporate_Site/Sustainability-At-IFC/Policies-Standards/Performance-Standards" TargetMode="External"/><Relationship Id="rId9" Type="http://schemas.openxmlformats.org/officeDocument/2006/relationships/hyperlink" Target="https://www.ifc.org/wps/wcm/connect/1f9c590b-a09f-42e9-968c-c050d0f00fc9/PS3_English_2012.pdf?MOD=AJPERES&amp;CVID=jiVQI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B576CAD5BC7745923472C0D3A19B4E" ma:contentTypeVersion="12" ma:contentTypeDescription="Create a new document." ma:contentTypeScope="" ma:versionID="24dad2b7a1fc2a9a620a532205ba0913">
  <xsd:schema xmlns:xsd="http://www.w3.org/2001/XMLSchema" xmlns:xs="http://www.w3.org/2001/XMLSchema" xmlns:p="http://schemas.microsoft.com/office/2006/metadata/properties" xmlns:ns2="8b490d03-d8dd-4e19-9755-4249a26db012" xmlns:ns3="1296d864-cd06-4c53-bcad-361c605bcba0" targetNamespace="http://schemas.microsoft.com/office/2006/metadata/properties" ma:root="true" ma:fieldsID="8dc374c068ecbd7a2b3c4cf01b27547d" ns2:_="" ns3:_="">
    <xsd:import namespace="8b490d03-d8dd-4e19-9755-4249a26db012"/>
    <xsd:import namespace="1296d864-cd06-4c53-bcad-361c605bc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90d03-d8dd-4e19-9755-4249a26d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96d864-cd06-4c53-bcad-361c605bcb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7B026-94BF-4034-9A28-A7668EC49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01E4E-B7FA-43B0-9EC4-9C8CF23093BC}">
  <ds:schemaRefs>
    <ds:schemaRef ds:uri="http://schemas.microsoft.com/sharepoint/v3/contenttype/forms"/>
  </ds:schemaRefs>
</ds:datastoreItem>
</file>

<file path=customXml/itemProps3.xml><?xml version="1.0" encoding="utf-8"?>
<ds:datastoreItem xmlns:ds="http://schemas.openxmlformats.org/officeDocument/2006/customXml" ds:itemID="{CCE7563F-DF1C-4C28-AFD5-C93B6A1A82C9}">
  <ds:schemaRefs>
    <ds:schemaRef ds:uri="http://schemas.openxmlformats.org/officeDocument/2006/bibliography"/>
  </ds:schemaRefs>
</ds:datastoreItem>
</file>

<file path=customXml/itemProps4.xml><?xml version="1.0" encoding="utf-8"?>
<ds:datastoreItem xmlns:ds="http://schemas.openxmlformats.org/officeDocument/2006/customXml" ds:itemID="{1BC2292B-0C78-43B9-88D2-A743D52F8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90d03-d8dd-4e19-9755-4249a26db012"/>
    <ds:schemaRef ds:uri="1296d864-cd06-4c53-bcad-361c605bc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Fortescue Metals Group Ltd.</Company>
  <LinksUpToDate>false</LinksUpToDate>
  <CharactersWithSpaces>45630</CharactersWithSpaces>
  <SharedDoc>false</SharedDoc>
  <HLinks>
    <vt:vector size="42" baseType="variant">
      <vt:variant>
        <vt:i4>21</vt:i4>
      </vt:variant>
      <vt:variant>
        <vt:i4>27</vt:i4>
      </vt:variant>
      <vt:variant>
        <vt:i4>0</vt:i4>
      </vt:variant>
      <vt:variant>
        <vt:i4>5</vt:i4>
      </vt:variant>
      <vt:variant>
        <vt:lpwstr>https://gh2.org/about/our-principles</vt:lpwstr>
      </vt:variant>
      <vt:variant>
        <vt:lpwstr/>
      </vt:variant>
      <vt:variant>
        <vt:i4>4653146</vt:i4>
      </vt:variant>
      <vt:variant>
        <vt:i4>24</vt:i4>
      </vt:variant>
      <vt:variant>
        <vt:i4>0</vt:i4>
      </vt:variant>
      <vt:variant>
        <vt:i4>5</vt:i4>
      </vt:variant>
      <vt:variant>
        <vt:lpwstr>https://www.iphe.net/iphe-working-paper-methodology-doc-oct-2021</vt:lpwstr>
      </vt:variant>
      <vt:variant>
        <vt:lpwstr/>
      </vt:variant>
      <vt:variant>
        <vt:i4>7929952</vt:i4>
      </vt:variant>
      <vt:variant>
        <vt:i4>21</vt:i4>
      </vt:variant>
      <vt:variant>
        <vt:i4>0</vt:i4>
      </vt:variant>
      <vt:variant>
        <vt:i4>5</vt:i4>
      </vt:variant>
      <vt:variant>
        <vt:lpwstr>https://www.ifc.org/wps/wcm/connect/1f9c590b-a09f-42e9-968c-c050d0f00fc9/PS3_English_2012.pdf?MOD=AJPERES&amp;CVID=jiVQIwF</vt:lpwstr>
      </vt:variant>
      <vt:variant>
        <vt:lpwstr/>
      </vt:variant>
      <vt:variant>
        <vt:i4>327756</vt:i4>
      </vt:variant>
      <vt:variant>
        <vt:i4>18</vt:i4>
      </vt:variant>
      <vt:variant>
        <vt:i4>0</vt:i4>
      </vt:variant>
      <vt:variant>
        <vt:i4>5</vt:i4>
      </vt:variant>
      <vt:variant>
        <vt:lpwstr>https://static1.squarespace.com/static/5c1978d3ee1759dc44fbd8ba/t/61379550f76c7d53f2b0f446/1631032662564/Hydropower+sustainabiity+standard+310821+01b.pdf</vt:lpwstr>
      </vt:variant>
      <vt:variant>
        <vt:lpwstr/>
      </vt:variant>
      <vt:variant>
        <vt:i4>393312</vt:i4>
      </vt:variant>
      <vt:variant>
        <vt:i4>15</vt:i4>
      </vt:variant>
      <vt:variant>
        <vt:i4>0</vt:i4>
      </vt:variant>
      <vt:variant>
        <vt:i4>5</vt:i4>
      </vt:variant>
      <vt:variant>
        <vt:lpwstr>https://www.ifc.org/wps/wcm/connect/Topics_Ext_Content/IFC_External_Corporate_Site/Sustainability-At-IFC/Policies-Standards/Performance-Standards</vt:lpwstr>
      </vt:variant>
      <vt:variant>
        <vt:lpwstr/>
      </vt:variant>
      <vt:variant>
        <vt:i4>655364</vt:i4>
      </vt:variant>
      <vt:variant>
        <vt:i4>12</vt:i4>
      </vt:variant>
      <vt:variant>
        <vt:i4>0</vt:i4>
      </vt:variant>
      <vt:variant>
        <vt:i4>5</vt:i4>
      </vt:variant>
      <vt:variant>
        <vt:lpwstr>https://sdgs.un.org/news/proposed-global-roadmap-shows-how-universal-access-sustainable -energy-can-be-achieved-2030</vt:lpwstr>
      </vt:variant>
      <vt:variant>
        <vt:lpwstr/>
      </vt:variant>
      <vt:variant>
        <vt:i4>196634</vt:i4>
      </vt:variant>
      <vt:variant>
        <vt:i4>9</vt:i4>
      </vt:variant>
      <vt:variant>
        <vt:i4>0</vt:i4>
      </vt:variant>
      <vt:variant>
        <vt:i4>5</vt:i4>
      </vt:variant>
      <vt:variant>
        <vt:lpwstr>https://sdgs.un.org/goals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Bartlett</dc:creator>
  <cp:keywords/>
  <dc:description/>
  <cp:lastModifiedBy>Green Hydrogen Organisation</cp:lastModifiedBy>
  <cp:revision>9</cp:revision>
  <dcterms:created xsi:type="dcterms:W3CDTF">2022-03-15T18:38:00Z</dcterms:created>
  <dcterms:modified xsi:type="dcterms:W3CDTF">2022-03-15T18:45:00Z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0x01010007B576CAD5BC7745923472C0D3A19B4E</vt:lpwstr>
  </property>
</Properties>
</file>